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12CE9FB0"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10371F">
        <w:rPr>
          <w:rFonts w:cs="Arial"/>
          <w:szCs w:val="22"/>
        </w:rPr>
        <w:t xml:space="preserve">5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910330" w:rsidRPr="00910330">
        <w:t xml:space="preserve"> </w:t>
      </w:r>
      <w:r w:rsidR="0010371F">
        <w:t>221</w:t>
      </w:r>
      <w:r w:rsidR="009E47B1">
        <w:t>9498</w:t>
      </w:r>
      <w:bookmarkStart w:id="2" w:name="_GoBack"/>
      <w:bookmarkEnd w:id="2"/>
    </w:p>
    <w:p w14:paraId="1DC1B158" w14:textId="438158AD" w:rsidR="00675C27" w:rsidRPr="00444A16" w:rsidRDefault="005E7B01" w:rsidP="00F71A33">
      <w:pPr>
        <w:pStyle w:val="afb"/>
        <w:rPr>
          <w:rFonts w:eastAsia="宋体"/>
          <w:lang w:eastAsia="zh-CN"/>
        </w:rPr>
      </w:pPr>
      <w:r>
        <w:rPr>
          <w:rFonts w:eastAsia="宋体"/>
          <w:lang w:eastAsia="zh-CN"/>
        </w:rPr>
        <w:t xml:space="preserve">Toulouse, France, </w:t>
      </w:r>
      <w:r w:rsidR="00BB6634">
        <w:rPr>
          <w:rFonts w:eastAsia="宋体"/>
          <w:lang w:eastAsia="zh-CN"/>
        </w:rPr>
        <w:t>October</w:t>
      </w:r>
      <w:r w:rsidR="00261464">
        <w:rPr>
          <w:rFonts w:eastAsia="宋体"/>
          <w:lang w:eastAsia="zh-CN"/>
        </w:rPr>
        <w:t xml:space="preserve"> </w:t>
      </w:r>
      <w:r>
        <w:rPr>
          <w:rFonts w:eastAsia="宋体"/>
          <w:lang w:eastAsia="zh-CN"/>
        </w:rPr>
        <w:t>14</w:t>
      </w:r>
      <w:r w:rsidR="00261464">
        <w:rPr>
          <w:rFonts w:eastAsia="宋体"/>
          <w:lang w:eastAsia="zh-CN"/>
        </w:rPr>
        <w:t xml:space="preserve"> – </w:t>
      </w:r>
      <w:r w:rsidR="00BB6634">
        <w:rPr>
          <w:rFonts w:eastAsia="宋体"/>
          <w:lang w:eastAsia="zh-CN"/>
        </w:rPr>
        <w:t>1</w:t>
      </w:r>
      <w:r>
        <w:rPr>
          <w:rFonts w:eastAsia="宋体"/>
          <w:lang w:eastAsia="zh-CN"/>
        </w:rPr>
        <w:t>8</w:t>
      </w:r>
      <w:r w:rsidR="0042456A">
        <w:rPr>
          <w:rFonts w:eastAsia="宋体"/>
          <w:lang w:eastAsia="zh-CN"/>
        </w:rPr>
        <w:t>, 2022</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3A4A4F6A" w14:textId="567EF38E"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6A80">
        <w:rPr>
          <w:rFonts w:ascii="Arial" w:hAnsi="Arial" w:cs="Arial"/>
          <w:sz w:val="22"/>
        </w:rPr>
        <w:t>O</w:t>
      </w:r>
      <w:r w:rsidR="00D02F4C">
        <w:rPr>
          <w:rFonts w:ascii="Arial" w:hAnsi="Arial" w:cs="Arial"/>
          <w:sz w:val="22"/>
        </w:rPr>
        <w:t xml:space="preserve">n </w:t>
      </w:r>
      <w:r w:rsidR="00553EA7" w:rsidRPr="00553EA7">
        <w:rPr>
          <w:rFonts w:ascii="Arial" w:hAnsi="Arial" w:cs="Arial"/>
          <w:sz w:val="22"/>
        </w:rPr>
        <w:t>enhancement</w:t>
      </w:r>
      <w:r w:rsidR="005E7B01">
        <w:rPr>
          <w:rFonts w:ascii="Arial" w:hAnsi="Arial" w:cs="Arial"/>
          <w:sz w:val="22"/>
        </w:rPr>
        <w:t>s of increasing UE power high limit</w:t>
      </w:r>
      <w:r w:rsidR="00B76FBB">
        <w:rPr>
          <w:rFonts w:ascii="Arial" w:hAnsi="Arial" w:cs="Arial"/>
          <w:sz w:val="22"/>
        </w:rPr>
        <w:t xml:space="preserve"> for CA and DC</w:t>
      </w:r>
    </w:p>
    <w:p w14:paraId="4FD55D83" w14:textId="2E3E5593"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76FBB">
        <w:rPr>
          <w:rFonts w:ascii="Arial" w:hAnsi="Arial" w:cs="Arial"/>
          <w:sz w:val="22"/>
        </w:rPr>
        <w:t>8</w:t>
      </w:r>
      <w:r w:rsidR="00D02F4C">
        <w:rPr>
          <w:rFonts w:ascii="Arial" w:hAnsi="Arial" w:cs="Arial"/>
          <w:sz w:val="22"/>
        </w:rPr>
        <w:t>.</w:t>
      </w:r>
      <w:r w:rsidR="0005355A">
        <w:rPr>
          <w:rFonts w:ascii="Arial" w:hAnsi="Arial" w:cs="Arial"/>
          <w:sz w:val="22"/>
        </w:rPr>
        <w:t>2</w:t>
      </w:r>
      <w:r w:rsidR="00B76FBB">
        <w:rPr>
          <w:rFonts w:ascii="Arial" w:hAnsi="Arial" w:cs="Arial"/>
          <w:sz w:val="22"/>
        </w:rPr>
        <w:t>4.1</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23F837AC" w14:textId="667268E4" w:rsidR="00BB4057" w:rsidRDefault="00BB4057" w:rsidP="00AB1467">
      <w:pPr>
        <w:jc w:val="both"/>
      </w:pPr>
      <w:r>
        <w:t>In RAN#96, the revised WI for Rel-18 further NR coverage enhancements has been approved [1]. The objectives related to RAN4 are highlighted as below.</w:t>
      </w:r>
    </w:p>
    <w:tbl>
      <w:tblPr>
        <w:tblStyle w:val="af8"/>
        <w:tblW w:w="0" w:type="auto"/>
        <w:tblLook w:val="04A0" w:firstRow="1" w:lastRow="0" w:firstColumn="1" w:lastColumn="0" w:noHBand="0" w:noVBand="1"/>
      </w:tblPr>
      <w:tblGrid>
        <w:gridCol w:w="9631"/>
      </w:tblGrid>
      <w:tr w:rsidR="00DA0EEC" w14:paraId="1B8CC27F" w14:textId="77777777" w:rsidTr="00DA0EEC">
        <w:tc>
          <w:tcPr>
            <w:tcW w:w="9631" w:type="dxa"/>
          </w:tcPr>
          <w:p w14:paraId="02E106C4" w14:textId="1DCBC185" w:rsidR="00DA0EEC" w:rsidRPr="007843FE" w:rsidRDefault="00DA0EEC" w:rsidP="00DA0EEC">
            <w:pPr>
              <w:numPr>
                <w:ilvl w:val="0"/>
                <w:numId w:val="27"/>
              </w:numPr>
              <w:overflowPunct/>
              <w:autoSpaceDE/>
              <w:autoSpaceDN/>
              <w:adjustRightInd/>
              <w:spacing w:before="120" w:after="120" w:line="276" w:lineRule="auto"/>
              <w:ind w:hanging="357"/>
              <w:jc w:val="both"/>
              <w:textAlignment w:val="auto"/>
              <w:rPr>
                <w:lang w:val="en-US"/>
              </w:rPr>
            </w:pPr>
            <w:r w:rsidRPr="00DA0EEC">
              <w:rPr>
                <w:highlight w:val="yellow"/>
                <w:lang w:val="en-US"/>
              </w:rPr>
              <w:t>Study and if necessary specify following power domain enhancements</w:t>
            </w:r>
          </w:p>
          <w:p w14:paraId="0DCD4554" w14:textId="77777777" w:rsidR="00DA0EEC" w:rsidRPr="007B39D0" w:rsidRDefault="00DA0EEC" w:rsidP="00DA0EEC">
            <w:pPr>
              <w:numPr>
                <w:ilvl w:val="1"/>
                <w:numId w:val="27"/>
              </w:numPr>
              <w:overflowPunct/>
              <w:autoSpaceDE/>
              <w:autoSpaceDN/>
              <w:adjustRightInd/>
              <w:spacing w:before="120" w:after="120" w:line="276" w:lineRule="auto"/>
              <w:jc w:val="both"/>
              <w:textAlignment w:val="auto"/>
              <w:rPr>
                <w:iCs/>
                <w:lang w:val="en-US"/>
              </w:rPr>
            </w:pPr>
            <w:r w:rsidRPr="007B39D0">
              <w:rPr>
                <w:iCs/>
                <w:lang w:val="en-US"/>
              </w:rPr>
              <w:t xml:space="preserve">Enhancements to realize </w:t>
            </w:r>
            <w:r w:rsidRPr="007B39D0">
              <w:rPr>
                <w:rFonts w:hint="eastAsia"/>
                <w:iCs/>
                <w:lang w:val="en-US"/>
              </w:rPr>
              <w:t>i</w:t>
            </w:r>
            <w:r w:rsidRPr="007B39D0">
              <w:rPr>
                <w:iCs/>
                <w:lang w:val="en-US"/>
              </w:rPr>
              <w:t xml:space="preserve">ncreasing UE power high limit for CA and DC based on Rel-17 RAN4 work on “Increasing UE power high limit for CA and DC”, </w:t>
            </w:r>
            <w:r w:rsidRPr="007B39D0">
              <w:rPr>
                <w:rFonts w:hint="eastAsia"/>
                <w:iCs/>
                <w:lang w:val="en-US"/>
              </w:rPr>
              <w:t xml:space="preserve">in compliance with </w:t>
            </w:r>
            <w:r w:rsidRPr="007B39D0">
              <w:rPr>
                <w:iCs/>
                <w:lang w:val="en-US"/>
              </w:rPr>
              <w:t>relevant regulations</w:t>
            </w:r>
            <w:r>
              <w:rPr>
                <w:iCs/>
                <w:lang w:val="en-US"/>
              </w:rPr>
              <w:t xml:space="preserve"> (RAN4, RAN1)</w:t>
            </w:r>
          </w:p>
          <w:p w14:paraId="3735871A" w14:textId="35A9A848" w:rsidR="00DA0EEC" w:rsidRPr="00DD7437" w:rsidRDefault="00DA0EEC" w:rsidP="00DD7437">
            <w:pPr>
              <w:numPr>
                <w:ilvl w:val="1"/>
                <w:numId w:val="27"/>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tc>
      </w:tr>
    </w:tbl>
    <w:p w14:paraId="5E8717B7" w14:textId="1210B8A4" w:rsidR="004B5218" w:rsidRDefault="00D6342C" w:rsidP="00AB1467">
      <w:pPr>
        <w:jc w:val="both"/>
      </w:pPr>
      <w:r>
        <w:t>In th</w:t>
      </w:r>
      <w:r w:rsidR="005E7B01">
        <w:t xml:space="preserve">e last RAN4 meeting, </w:t>
      </w:r>
      <w:r w:rsidR="004B5218">
        <w:t xml:space="preserve">fruitful </w:t>
      </w:r>
      <w:r w:rsidR="005E7B01">
        <w:t>discussion</w:t>
      </w:r>
      <w:r w:rsidR="00DD7437">
        <w:t xml:space="preserve"> regarding the first objective</w:t>
      </w:r>
      <w:r w:rsidR="004B5218">
        <w:t xml:space="preserve"> have been done</w:t>
      </w:r>
      <w:r w:rsidR="00506193">
        <w:t xml:space="preserve"> as recorded in [2]</w:t>
      </w:r>
      <w:r w:rsidR="004B5218">
        <w:t xml:space="preserve"> and </w:t>
      </w:r>
      <w:proofErr w:type="gramStart"/>
      <w:r w:rsidR="004B5218">
        <w:t>agreements</w:t>
      </w:r>
      <w:proofErr w:type="gramEnd"/>
      <w:r w:rsidR="004B5218">
        <w:t xml:space="preserve"> can be found in the WF [</w:t>
      </w:r>
      <w:r w:rsidR="00506193">
        <w:t>3</w:t>
      </w:r>
      <w:r w:rsidR="004B5218">
        <w:t>]</w:t>
      </w:r>
      <w:r w:rsidR="00506193">
        <w:t>.</w:t>
      </w:r>
    </w:p>
    <w:tbl>
      <w:tblPr>
        <w:tblStyle w:val="af8"/>
        <w:tblW w:w="0" w:type="auto"/>
        <w:tblLook w:val="04A0" w:firstRow="1" w:lastRow="0" w:firstColumn="1" w:lastColumn="0" w:noHBand="0" w:noVBand="1"/>
      </w:tblPr>
      <w:tblGrid>
        <w:gridCol w:w="9631"/>
      </w:tblGrid>
      <w:tr w:rsidR="00506193" w14:paraId="1974A02A" w14:textId="77777777" w:rsidTr="00506193">
        <w:tc>
          <w:tcPr>
            <w:tcW w:w="9631" w:type="dxa"/>
          </w:tcPr>
          <w:p w14:paraId="5B3B167C" w14:textId="77777777" w:rsidR="00DD7437" w:rsidRDefault="00DD7437" w:rsidP="00DD7437">
            <w:pPr>
              <w:pStyle w:val="3"/>
              <w:numPr>
                <w:ilvl w:val="0"/>
                <w:numId w:val="0"/>
              </w:numPr>
              <w:outlineLvl w:val="2"/>
              <w:rPr>
                <w:sz w:val="24"/>
                <w:szCs w:val="16"/>
              </w:rPr>
            </w:pPr>
            <w:r>
              <w:rPr>
                <w:sz w:val="24"/>
                <w:szCs w:val="16"/>
              </w:rPr>
              <w:t xml:space="preserve">Sub-topic #1-1: The </w:t>
            </w:r>
            <w:proofErr w:type="spellStart"/>
            <w:r>
              <w:rPr>
                <w:sz w:val="24"/>
                <w:szCs w:val="16"/>
              </w:rPr>
              <w:t>neccesity</w:t>
            </w:r>
            <w:proofErr w:type="spellEnd"/>
            <w:r>
              <w:rPr>
                <w:sz w:val="24"/>
                <w:szCs w:val="16"/>
              </w:rPr>
              <w:t xml:space="preserve"> of this objective</w:t>
            </w:r>
          </w:p>
          <w:p w14:paraId="04DA6A7E" w14:textId="77777777" w:rsidR="00DD7437" w:rsidRDefault="00DD7437" w:rsidP="00DD7437">
            <w:pPr>
              <w:keepNext/>
              <w:keepLines/>
              <w:spacing w:before="120"/>
              <w:outlineLvl w:val="3"/>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1-1</w:t>
            </w:r>
            <w:r>
              <w:rPr>
                <w:rFonts w:ascii="Arial" w:hAnsi="Arial"/>
                <w:b/>
                <w:szCs w:val="21"/>
                <w:u w:val="single"/>
                <w:lang w:eastAsia="ko-KR"/>
              </w:rPr>
              <w:t>: Whether to remove this objective</w:t>
            </w:r>
          </w:p>
          <w:p w14:paraId="4A341646" w14:textId="77777777" w:rsidR="00DD7437" w:rsidRDefault="00DD7437" w:rsidP="00DD7437">
            <w:pPr>
              <w:rPr>
                <w:rFonts w:eastAsiaTheme="minorEastAsia"/>
                <w:lang w:val="en-US"/>
              </w:rPr>
            </w:pPr>
            <w:r>
              <w:rPr>
                <w:rFonts w:eastAsiaTheme="minorEastAsia"/>
                <w:lang w:val="en-US"/>
              </w:rPr>
              <w:t>Agreement:</w:t>
            </w:r>
          </w:p>
          <w:p w14:paraId="0D11AD8C" w14:textId="5D0EA247" w:rsidR="00DD7437" w:rsidRDefault="00DD7437" w:rsidP="00DD7437">
            <w:pPr>
              <w:rPr>
                <w:rFonts w:eastAsiaTheme="minorEastAsia"/>
                <w:lang w:val="en-US"/>
              </w:rPr>
            </w:pPr>
            <w:r w:rsidRPr="00F42168">
              <w:rPr>
                <w:rFonts w:eastAsiaTheme="minorEastAsia"/>
                <w:lang w:val="en-US"/>
              </w:rPr>
              <w:t xml:space="preserve">FFS on the other issues and check whether </w:t>
            </w:r>
            <w:r w:rsidRPr="00F42168">
              <w:rPr>
                <w:szCs w:val="21"/>
              </w:rPr>
              <w:t>if the discussion for this objective in RAN4 level could be stopped based on companies’ view in the next meeting</w:t>
            </w:r>
            <w:r w:rsidRPr="00F42168">
              <w:rPr>
                <w:rFonts w:eastAsiaTheme="minorEastAsia"/>
                <w:lang w:val="en-US"/>
              </w:rPr>
              <w:t>.</w:t>
            </w:r>
          </w:p>
          <w:p w14:paraId="7F1890FA" w14:textId="77777777" w:rsidR="00DD7437" w:rsidRPr="00DD7437" w:rsidRDefault="00DD7437" w:rsidP="00DD7437">
            <w:pPr>
              <w:rPr>
                <w:rFonts w:eastAsiaTheme="minorEastAsia"/>
                <w:lang w:val="en-US"/>
              </w:rPr>
            </w:pPr>
          </w:p>
          <w:p w14:paraId="7A3B9D36" w14:textId="77777777" w:rsidR="00DD7437" w:rsidRDefault="00DD7437" w:rsidP="00DD7437">
            <w:pPr>
              <w:pStyle w:val="3"/>
              <w:numPr>
                <w:ilvl w:val="0"/>
                <w:numId w:val="0"/>
              </w:numPr>
              <w:outlineLvl w:val="2"/>
              <w:rPr>
                <w:sz w:val="24"/>
                <w:szCs w:val="16"/>
              </w:rPr>
            </w:pPr>
            <w:r>
              <w:rPr>
                <w:sz w:val="24"/>
                <w:szCs w:val="16"/>
              </w:rPr>
              <w:t xml:space="preserve">Sub-topic #1-2: </w:t>
            </w:r>
            <w:r>
              <w:rPr>
                <w:rFonts w:hint="eastAsia"/>
                <w:sz w:val="24"/>
                <w:szCs w:val="16"/>
                <w:lang w:val="en-GB"/>
              </w:rPr>
              <w:t>I</w:t>
            </w:r>
            <w:r>
              <w:rPr>
                <w:sz w:val="24"/>
                <w:szCs w:val="16"/>
                <w:lang w:val="en-GB"/>
              </w:rPr>
              <w:t xml:space="preserve">nter-band CA/DC scenario </w:t>
            </w:r>
            <w:r>
              <w:rPr>
                <w:rFonts w:hint="eastAsia"/>
                <w:sz w:val="24"/>
                <w:szCs w:val="16"/>
                <w:lang w:val="en-GB"/>
              </w:rPr>
              <w:t>for</w:t>
            </w:r>
            <w:r>
              <w:rPr>
                <w:sz w:val="24"/>
                <w:szCs w:val="16"/>
                <w:lang w:val="en-GB"/>
              </w:rPr>
              <w:t xml:space="preserve"> Rel-18 RAN4 study</w:t>
            </w:r>
          </w:p>
          <w:p w14:paraId="5C0B1A26" w14:textId="77777777" w:rsidR="00DD7437" w:rsidRDefault="00DD7437" w:rsidP="00DD7437">
            <w:pPr>
              <w:keepNext/>
              <w:keepLines/>
              <w:spacing w:before="120"/>
              <w:outlineLvl w:val="3"/>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2-1</w:t>
            </w:r>
            <w:r>
              <w:rPr>
                <w:rFonts w:ascii="Arial" w:hAnsi="Arial"/>
                <w:b/>
                <w:szCs w:val="21"/>
                <w:u w:val="single"/>
                <w:lang w:eastAsia="ko-KR"/>
              </w:rPr>
              <w:t>: Whether ‘PC2: 26dBm (TDD) + 26dBm (TDD) without UL-MIMO’ needs to be considered</w:t>
            </w:r>
          </w:p>
          <w:p w14:paraId="30F7159F" w14:textId="77777777" w:rsidR="00DD7437" w:rsidRDefault="00DD7437" w:rsidP="00DD7437">
            <w:pPr>
              <w:rPr>
                <w:rFonts w:eastAsiaTheme="minorEastAsia"/>
                <w:lang w:val="en-US"/>
              </w:rPr>
            </w:pPr>
            <w:r>
              <w:rPr>
                <w:rFonts w:eastAsiaTheme="minorEastAsia"/>
                <w:lang w:val="en-US"/>
              </w:rPr>
              <w:t>Agreement:</w:t>
            </w:r>
          </w:p>
          <w:p w14:paraId="12054B3B" w14:textId="77777777" w:rsidR="00DD7437" w:rsidRPr="00DD7437" w:rsidRDefault="00DD7437" w:rsidP="00DD7437">
            <w:pPr>
              <w:pStyle w:val="aff6"/>
              <w:widowControl/>
              <w:numPr>
                <w:ilvl w:val="0"/>
                <w:numId w:val="33"/>
              </w:numPr>
              <w:overflowPunct w:val="0"/>
              <w:autoSpaceDE w:val="0"/>
              <w:autoSpaceDN w:val="0"/>
              <w:adjustRightInd w:val="0"/>
              <w:spacing w:after="180" w:line="259" w:lineRule="auto"/>
              <w:ind w:firstLineChars="0"/>
              <w:jc w:val="left"/>
              <w:textAlignment w:val="baseline"/>
              <w:rPr>
                <w:rFonts w:ascii="Times New Roman" w:eastAsiaTheme="minorEastAsia" w:hAnsi="Times New Roman"/>
                <w:kern w:val="0"/>
                <w:sz w:val="20"/>
                <w:szCs w:val="20"/>
                <w:lang w:val="en-US" w:eastAsia="zh-CN"/>
              </w:rPr>
            </w:pPr>
            <w:r w:rsidRPr="00DD7437">
              <w:rPr>
                <w:rFonts w:ascii="Times New Roman" w:eastAsiaTheme="minorEastAsia" w:hAnsi="Times New Roman" w:hint="eastAsia"/>
                <w:kern w:val="0"/>
                <w:sz w:val="20"/>
                <w:szCs w:val="20"/>
                <w:lang w:val="en-US" w:eastAsia="zh-CN"/>
              </w:rPr>
              <w:t>‘</w:t>
            </w:r>
            <w:r w:rsidRPr="00DD7437">
              <w:rPr>
                <w:rFonts w:ascii="Times New Roman" w:eastAsiaTheme="minorEastAsia" w:hAnsi="Times New Roman"/>
                <w:kern w:val="0"/>
                <w:sz w:val="20"/>
                <w:szCs w:val="20"/>
                <w:lang w:val="en-US" w:eastAsia="zh-CN"/>
              </w:rPr>
              <w:t>PC2: 26dBm (TDD) + 26dBm (TDD) without UL-MIMO’ does not need to be considered in this WID.</w:t>
            </w:r>
          </w:p>
          <w:p w14:paraId="7023E16F" w14:textId="77777777" w:rsidR="00DD7437" w:rsidRPr="003A6EBD" w:rsidRDefault="00DD7437" w:rsidP="00DD7437">
            <w:pPr>
              <w:rPr>
                <w:rFonts w:eastAsiaTheme="minorEastAsia"/>
                <w:lang w:val="en-US"/>
              </w:rPr>
            </w:pPr>
          </w:p>
          <w:p w14:paraId="2B8C58B6" w14:textId="77777777" w:rsidR="00DD7437" w:rsidRDefault="00DD7437" w:rsidP="00DD7437">
            <w:pPr>
              <w:keepNext/>
              <w:keepLines/>
              <w:spacing w:before="120"/>
              <w:outlineLvl w:val="3"/>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2-2</w:t>
            </w:r>
            <w:r>
              <w:rPr>
                <w:rFonts w:ascii="Arial" w:hAnsi="Arial"/>
                <w:b/>
                <w:szCs w:val="21"/>
                <w:u w:val="single"/>
                <w:lang w:eastAsia="ko-KR"/>
              </w:rPr>
              <w:t>: Any other candidate(s) can be considered</w:t>
            </w:r>
          </w:p>
          <w:p w14:paraId="4233FB7C" w14:textId="77777777" w:rsidR="00DD7437" w:rsidRDefault="00DD7437" w:rsidP="00DD7437">
            <w:pPr>
              <w:numPr>
                <w:ilvl w:val="0"/>
                <w:numId w:val="34"/>
              </w:numPr>
              <w:overflowPunct/>
              <w:autoSpaceDE/>
              <w:adjustRightInd/>
              <w:snapToGrid w:val="0"/>
              <w:spacing w:before="60" w:after="60"/>
              <w:ind w:left="284" w:hanging="284"/>
              <w:textAlignment w:val="auto"/>
              <w:rPr>
                <w:b/>
                <w:szCs w:val="21"/>
              </w:rPr>
            </w:pPr>
            <w:r>
              <w:rPr>
                <w:b/>
                <w:szCs w:val="21"/>
              </w:rPr>
              <w:t>Case 1: PC3 inter-band BC with PC3 for band 1 and PC5 for band 2</w:t>
            </w:r>
          </w:p>
          <w:p w14:paraId="5F4394D1" w14:textId="77777777" w:rsidR="00DD7437" w:rsidRPr="003A6EBD" w:rsidRDefault="00DD7437" w:rsidP="00DD7437">
            <w:pPr>
              <w:snapToGrid w:val="0"/>
              <w:spacing w:before="60" w:after="60"/>
              <w:rPr>
                <w:szCs w:val="21"/>
              </w:rPr>
            </w:pPr>
            <w:r w:rsidRPr="003A6EBD">
              <w:rPr>
                <w:szCs w:val="21"/>
              </w:rPr>
              <w:t>Agreement:</w:t>
            </w:r>
          </w:p>
          <w:p w14:paraId="3EB10EC9" w14:textId="77777777" w:rsidR="00DD7437" w:rsidRPr="00DD7437" w:rsidRDefault="00DD7437" w:rsidP="00DD7437">
            <w:pPr>
              <w:pStyle w:val="aff6"/>
              <w:widowControl/>
              <w:numPr>
                <w:ilvl w:val="0"/>
                <w:numId w:val="35"/>
              </w:numPr>
              <w:overflowPunct w:val="0"/>
              <w:autoSpaceDE w:val="0"/>
              <w:autoSpaceDN w:val="0"/>
              <w:adjustRightInd w:val="0"/>
              <w:snapToGrid w:val="0"/>
              <w:spacing w:before="60" w:after="60"/>
              <w:ind w:firstLineChars="0"/>
              <w:contextualSpacing/>
              <w:jc w:val="left"/>
              <w:textAlignment w:val="baseline"/>
              <w:rPr>
                <w:rFonts w:ascii="Times New Roman" w:eastAsiaTheme="minorEastAsia" w:hAnsi="Times New Roman"/>
                <w:kern w:val="0"/>
                <w:sz w:val="20"/>
                <w:szCs w:val="20"/>
                <w:lang w:val="en-US" w:eastAsia="zh-CN"/>
              </w:rPr>
            </w:pPr>
            <w:r w:rsidRPr="00DD7437">
              <w:rPr>
                <w:rFonts w:ascii="Times New Roman" w:eastAsiaTheme="minorEastAsia" w:hAnsi="Times New Roman" w:hint="eastAsia"/>
                <w:kern w:val="0"/>
                <w:sz w:val="20"/>
                <w:szCs w:val="20"/>
                <w:lang w:val="en-US" w:eastAsia="zh-CN"/>
              </w:rPr>
              <w:t xml:space="preserve">Postpone the discussions for </w:t>
            </w:r>
            <w:r w:rsidRPr="00DD7437">
              <w:rPr>
                <w:rFonts w:ascii="Times New Roman" w:eastAsiaTheme="minorEastAsia" w:hAnsi="Times New Roman"/>
                <w:kern w:val="0"/>
                <w:sz w:val="20"/>
                <w:szCs w:val="20"/>
                <w:lang w:val="en-US" w:eastAsia="zh-CN"/>
              </w:rPr>
              <w:t>PC3 inter-band BC with PC3 for band 1 and PC5 for band 2 until receiving the demand from operators</w:t>
            </w:r>
          </w:p>
          <w:p w14:paraId="29910E56" w14:textId="77777777" w:rsidR="00DD7437" w:rsidRDefault="00DD7437" w:rsidP="00DD7437">
            <w:pPr>
              <w:rPr>
                <w:rFonts w:eastAsiaTheme="minorEastAsia"/>
                <w:lang w:val="en-US"/>
              </w:rPr>
            </w:pPr>
          </w:p>
          <w:p w14:paraId="3CDFC080" w14:textId="77777777" w:rsidR="00DD7437" w:rsidRDefault="00DD7437" w:rsidP="00DD7437">
            <w:pPr>
              <w:rPr>
                <w:rFonts w:eastAsiaTheme="minorEastAsia"/>
                <w:lang w:val="en-US"/>
              </w:rPr>
            </w:pPr>
          </w:p>
          <w:p w14:paraId="6EE8BE5F" w14:textId="77777777" w:rsidR="00DD7437" w:rsidRDefault="00DD7437" w:rsidP="00DD7437">
            <w:pPr>
              <w:numPr>
                <w:ilvl w:val="0"/>
                <w:numId w:val="34"/>
              </w:numPr>
              <w:overflowPunct/>
              <w:autoSpaceDE/>
              <w:adjustRightInd/>
              <w:snapToGrid w:val="0"/>
              <w:spacing w:before="60" w:after="60"/>
              <w:ind w:left="284" w:hanging="284"/>
              <w:textAlignment w:val="auto"/>
              <w:rPr>
                <w:b/>
                <w:szCs w:val="21"/>
              </w:rPr>
            </w:pPr>
            <w:r>
              <w:rPr>
                <w:b/>
                <w:szCs w:val="21"/>
              </w:rPr>
              <w:t>Case 2: PC1.5 band combination with PC1.5 band 1 and any PC band 2</w:t>
            </w:r>
          </w:p>
          <w:p w14:paraId="71DC347A" w14:textId="77777777" w:rsidR="00DD7437" w:rsidRDefault="00DD7437" w:rsidP="00DD7437">
            <w:pPr>
              <w:numPr>
                <w:ilvl w:val="1"/>
                <w:numId w:val="34"/>
              </w:numPr>
              <w:overflowPunct/>
              <w:autoSpaceDE/>
              <w:adjustRightInd/>
              <w:snapToGrid w:val="0"/>
              <w:spacing w:before="60" w:after="60"/>
              <w:textAlignment w:val="auto"/>
              <w:rPr>
                <w:b/>
                <w:szCs w:val="21"/>
              </w:rPr>
            </w:pPr>
            <w:r>
              <w:rPr>
                <w:b/>
                <w:szCs w:val="21"/>
              </w:rPr>
              <w:t>Note: this calls for 3 transmitters and only for 1CC for both bands</w:t>
            </w:r>
          </w:p>
          <w:p w14:paraId="27D610CD" w14:textId="77777777" w:rsidR="00DD7437" w:rsidRPr="00DD7437" w:rsidRDefault="00DD7437" w:rsidP="00DD7437">
            <w:pPr>
              <w:snapToGrid w:val="0"/>
              <w:spacing w:before="60" w:after="60"/>
              <w:rPr>
                <w:rFonts w:eastAsiaTheme="minorEastAsia"/>
                <w:lang w:val="en-US"/>
              </w:rPr>
            </w:pPr>
            <w:r w:rsidRPr="00DD7437">
              <w:rPr>
                <w:rFonts w:eastAsiaTheme="minorEastAsia"/>
                <w:lang w:val="en-US"/>
              </w:rPr>
              <w:t>Agreement:</w:t>
            </w:r>
          </w:p>
          <w:p w14:paraId="5A4F5247" w14:textId="77777777" w:rsidR="00DD7437" w:rsidRPr="00DD7437" w:rsidRDefault="00DD7437" w:rsidP="00DD7437">
            <w:pPr>
              <w:pStyle w:val="aff6"/>
              <w:widowControl/>
              <w:numPr>
                <w:ilvl w:val="0"/>
                <w:numId w:val="33"/>
              </w:numPr>
              <w:overflowPunct w:val="0"/>
              <w:autoSpaceDE w:val="0"/>
              <w:autoSpaceDN w:val="0"/>
              <w:adjustRightInd w:val="0"/>
              <w:spacing w:after="180" w:line="259" w:lineRule="auto"/>
              <w:ind w:firstLineChars="0"/>
              <w:jc w:val="left"/>
              <w:textAlignment w:val="baseline"/>
              <w:rPr>
                <w:rFonts w:ascii="Times New Roman" w:eastAsiaTheme="minorEastAsia" w:hAnsi="Times New Roman"/>
                <w:kern w:val="0"/>
                <w:sz w:val="20"/>
                <w:szCs w:val="20"/>
                <w:lang w:val="en-US" w:eastAsia="zh-CN"/>
              </w:rPr>
            </w:pPr>
            <w:r w:rsidRPr="00DD7437">
              <w:rPr>
                <w:rFonts w:ascii="Times New Roman" w:eastAsiaTheme="minorEastAsia" w:hAnsi="Times New Roman"/>
                <w:kern w:val="0"/>
                <w:sz w:val="20"/>
                <w:szCs w:val="20"/>
                <w:lang w:val="en-US" w:eastAsia="zh-CN"/>
              </w:rPr>
              <w:t>The case ‘PC1.5 band combination with PC1.5 band 1 and any PC band 2’ does not need to be considered in this WID.</w:t>
            </w:r>
          </w:p>
          <w:p w14:paraId="30144469" w14:textId="77777777" w:rsidR="00DD7437" w:rsidRPr="003503B7" w:rsidRDefault="00DD7437" w:rsidP="00DD7437">
            <w:pPr>
              <w:rPr>
                <w:b/>
                <w:u w:val="single"/>
                <w:lang w:val="en-US"/>
              </w:rPr>
            </w:pPr>
          </w:p>
          <w:p w14:paraId="14914916" w14:textId="77777777" w:rsidR="00DD7437" w:rsidRPr="003A6EBD" w:rsidRDefault="00DD7437" w:rsidP="00DD7437">
            <w:pPr>
              <w:numPr>
                <w:ilvl w:val="0"/>
                <w:numId w:val="34"/>
              </w:numPr>
              <w:overflowPunct/>
              <w:autoSpaceDE/>
              <w:adjustRightInd/>
              <w:snapToGrid w:val="0"/>
              <w:spacing w:before="60" w:after="60"/>
              <w:ind w:left="284" w:hanging="284"/>
              <w:textAlignment w:val="auto"/>
              <w:rPr>
                <w:b/>
                <w:szCs w:val="21"/>
              </w:rPr>
            </w:pPr>
            <w:r>
              <w:rPr>
                <w:b/>
                <w:szCs w:val="21"/>
              </w:rPr>
              <w:t xml:space="preserve">Case 3: PC2 FDD band without </w:t>
            </w:r>
            <w:proofErr w:type="spellStart"/>
            <w:r>
              <w:rPr>
                <w:b/>
                <w:szCs w:val="21"/>
              </w:rPr>
              <w:t>TxD</w:t>
            </w:r>
            <w:proofErr w:type="spellEnd"/>
            <w:r>
              <w:rPr>
                <w:b/>
                <w:szCs w:val="21"/>
              </w:rPr>
              <w:t xml:space="preserve"> + PC3 TDD/FDD band </w:t>
            </w:r>
          </w:p>
          <w:p w14:paraId="24AD9BC6" w14:textId="77777777" w:rsidR="00DD7437" w:rsidRPr="003A6EBD" w:rsidRDefault="00DD7437" w:rsidP="00DD7437">
            <w:pPr>
              <w:snapToGrid w:val="0"/>
              <w:spacing w:before="60" w:after="60"/>
              <w:rPr>
                <w:szCs w:val="21"/>
              </w:rPr>
            </w:pPr>
            <w:r w:rsidRPr="003A6EBD">
              <w:rPr>
                <w:szCs w:val="21"/>
              </w:rPr>
              <w:t>Agreement:</w:t>
            </w:r>
          </w:p>
          <w:p w14:paraId="333DB90C" w14:textId="77777777" w:rsidR="00DD7437" w:rsidRPr="000D279D" w:rsidRDefault="00DD7437" w:rsidP="00DD7437">
            <w:pPr>
              <w:pStyle w:val="aff6"/>
              <w:widowControl/>
              <w:numPr>
                <w:ilvl w:val="0"/>
                <w:numId w:val="33"/>
              </w:numPr>
              <w:overflowPunct w:val="0"/>
              <w:autoSpaceDE w:val="0"/>
              <w:autoSpaceDN w:val="0"/>
              <w:adjustRightInd w:val="0"/>
              <w:spacing w:after="180" w:line="259" w:lineRule="auto"/>
              <w:ind w:firstLineChars="0"/>
              <w:jc w:val="left"/>
              <w:textAlignment w:val="baseline"/>
              <w:rPr>
                <w:rFonts w:eastAsiaTheme="minorEastAsia"/>
                <w:lang w:val="en-US" w:eastAsia="zh-CN"/>
              </w:rPr>
            </w:pPr>
            <w:r w:rsidRPr="00DD7437">
              <w:rPr>
                <w:rFonts w:ascii="Times New Roman" w:hAnsi="Times New Roman"/>
                <w:kern w:val="0"/>
                <w:sz w:val="20"/>
                <w:szCs w:val="21"/>
                <w:lang w:val="en-GB" w:eastAsia="zh-CN"/>
              </w:rPr>
              <w:t xml:space="preserve">The case ‘PC2 FDD band without </w:t>
            </w:r>
            <w:proofErr w:type="spellStart"/>
            <w:r w:rsidRPr="00DD7437">
              <w:rPr>
                <w:rFonts w:ascii="Times New Roman" w:hAnsi="Times New Roman"/>
                <w:kern w:val="0"/>
                <w:sz w:val="20"/>
                <w:szCs w:val="21"/>
                <w:lang w:val="en-GB" w:eastAsia="zh-CN"/>
              </w:rPr>
              <w:t>TxD</w:t>
            </w:r>
            <w:proofErr w:type="spellEnd"/>
            <w:r w:rsidRPr="00DD7437">
              <w:rPr>
                <w:rFonts w:ascii="Times New Roman" w:hAnsi="Times New Roman"/>
                <w:kern w:val="0"/>
                <w:sz w:val="20"/>
                <w:szCs w:val="21"/>
                <w:lang w:val="en-GB" w:eastAsia="zh-CN"/>
              </w:rPr>
              <w:t xml:space="preserve"> + PC3 TDD/FDD band’ does not need to be considered in this WID.</w:t>
            </w:r>
          </w:p>
          <w:p w14:paraId="61F0CB16" w14:textId="77777777" w:rsidR="00DD7437" w:rsidRPr="003503B7" w:rsidRDefault="00DD7437" w:rsidP="00DD7437">
            <w:pPr>
              <w:rPr>
                <w:b/>
                <w:u w:val="single"/>
                <w:lang w:val="en-US"/>
              </w:rPr>
            </w:pPr>
          </w:p>
          <w:p w14:paraId="6DAC0100" w14:textId="77777777" w:rsidR="00DD7437" w:rsidRDefault="00DD7437" w:rsidP="00DD7437">
            <w:pPr>
              <w:pStyle w:val="3"/>
              <w:numPr>
                <w:ilvl w:val="0"/>
                <w:numId w:val="0"/>
              </w:numPr>
              <w:outlineLvl w:val="2"/>
              <w:rPr>
                <w:sz w:val="24"/>
                <w:szCs w:val="16"/>
              </w:rPr>
            </w:pPr>
            <w:r>
              <w:rPr>
                <w:sz w:val="24"/>
                <w:szCs w:val="16"/>
              </w:rPr>
              <w:t xml:space="preserve">Sub-topic #1-3: </w:t>
            </w:r>
            <w:r>
              <w:rPr>
                <w:rFonts w:hint="eastAsia"/>
                <w:sz w:val="24"/>
                <w:szCs w:val="16"/>
                <w:lang w:val="en-GB"/>
              </w:rPr>
              <w:t>I</w:t>
            </w:r>
            <w:r>
              <w:rPr>
                <w:sz w:val="24"/>
                <w:szCs w:val="16"/>
                <w:lang w:val="en-GB"/>
              </w:rPr>
              <w:t xml:space="preserve">ntra-band CA/DC scenario </w:t>
            </w:r>
            <w:r>
              <w:rPr>
                <w:rFonts w:hint="eastAsia"/>
                <w:sz w:val="24"/>
                <w:szCs w:val="16"/>
                <w:lang w:val="en-GB"/>
              </w:rPr>
              <w:t>for</w:t>
            </w:r>
            <w:r>
              <w:rPr>
                <w:sz w:val="24"/>
                <w:szCs w:val="16"/>
                <w:lang w:val="en-GB"/>
              </w:rPr>
              <w:t xml:space="preserve"> Rel-18 RAN4 study</w:t>
            </w:r>
          </w:p>
          <w:p w14:paraId="7AAF606C" w14:textId="77777777" w:rsidR="00DD7437" w:rsidRPr="003A6EBD" w:rsidRDefault="00DD7437" w:rsidP="00DD7437">
            <w:pPr>
              <w:keepNext/>
              <w:keepLines/>
              <w:spacing w:before="120"/>
              <w:outlineLvl w:val="3"/>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3-1</w:t>
            </w:r>
            <w:r>
              <w:rPr>
                <w:rFonts w:ascii="Arial" w:hAnsi="Arial"/>
                <w:b/>
                <w:szCs w:val="21"/>
                <w:u w:val="single"/>
                <w:lang w:eastAsia="ko-KR"/>
              </w:rPr>
              <w:t>: Whether intra-band UL CA scenario needs to be considered</w:t>
            </w:r>
          </w:p>
          <w:p w14:paraId="35130027" w14:textId="77777777" w:rsidR="00DD7437" w:rsidRPr="003A6EBD" w:rsidRDefault="00DD7437" w:rsidP="00DD7437">
            <w:pPr>
              <w:snapToGrid w:val="0"/>
              <w:spacing w:before="60" w:after="60"/>
              <w:rPr>
                <w:szCs w:val="21"/>
              </w:rPr>
            </w:pPr>
            <w:r w:rsidRPr="003A6EBD">
              <w:rPr>
                <w:szCs w:val="21"/>
              </w:rPr>
              <w:t>Agreement:</w:t>
            </w:r>
          </w:p>
          <w:p w14:paraId="34F9A7D1" w14:textId="77777777" w:rsidR="00DD7437" w:rsidRPr="000D279D" w:rsidRDefault="00DD7437" w:rsidP="00DD7437">
            <w:pPr>
              <w:pStyle w:val="aff6"/>
              <w:widowControl/>
              <w:numPr>
                <w:ilvl w:val="0"/>
                <w:numId w:val="33"/>
              </w:numPr>
              <w:overflowPunct w:val="0"/>
              <w:autoSpaceDE w:val="0"/>
              <w:autoSpaceDN w:val="0"/>
              <w:adjustRightInd w:val="0"/>
              <w:spacing w:after="180" w:line="259" w:lineRule="auto"/>
              <w:ind w:firstLineChars="0"/>
              <w:jc w:val="left"/>
              <w:textAlignment w:val="baseline"/>
              <w:rPr>
                <w:b/>
                <w:u w:val="single"/>
                <w:lang w:val="en-US"/>
              </w:rPr>
            </w:pPr>
            <w:r w:rsidRPr="00DD7437">
              <w:rPr>
                <w:rFonts w:ascii="Times New Roman" w:hAnsi="Times New Roman"/>
                <w:kern w:val="0"/>
                <w:sz w:val="20"/>
                <w:szCs w:val="21"/>
                <w:lang w:val="en-GB" w:eastAsia="zh-CN"/>
              </w:rPr>
              <w:t>Further study on the case ‘intra-band contiguous/non-contiguous UL CA with PC2 on CC1 and PC3 on CC2’.</w:t>
            </w:r>
          </w:p>
          <w:p w14:paraId="68A7D9FC" w14:textId="77777777" w:rsidR="00DD7437" w:rsidRPr="0089121C" w:rsidRDefault="00DD7437" w:rsidP="00DD7437">
            <w:pPr>
              <w:rPr>
                <w:b/>
                <w:u w:val="single"/>
                <w:lang w:val="en-US"/>
              </w:rPr>
            </w:pPr>
          </w:p>
          <w:p w14:paraId="0A628951" w14:textId="77777777" w:rsidR="00DD7437" w:rsidRDefault="00DD7437" w:rsidP="00DD7437">
            <w:pPr>
              <w:pStyle w:val="3"/>
              <w:numPr>
                <w:ilvl w:val="0"/>
                <w:numId w:val="0"/>
              </w:numPr>
              <w:outlineLvl w:val="2"/>
              <w:rPr>
                <w:sz w:val="24"/>
                <w:szCs w:val="16"/>
              </w:rPr>
            </w:pPr>
            <w:r>
              <w:rPr>
                <w:sz w:val="24"/>
                <w:szCs w:val="16"/>
              </w:rPr>
              <w:t xml:space="preserve">Sub-topic #1-4: </w:t>
            </w:r>
            <w:r>
              <w:rPr>
                <w:sz w:val="24"/>
                <w:szCs w:val="16"/>
                <w:lang w:val="en-GB"/>
              </w:rPr>
              <w:t>Other candidate(s) for Rel-18 RAN4 study scope</w:t>
            </w:r>
          </w:p>
          <w:p w14:paraId="013AAA11" w14:textId="77777777" w:rsidR="00DD7437" w:rsidRDefault="00DD7437" w:rsidP="00DD7437">
            <w:pPr>
              <w:keepNext/>
              <w:keepLines/>
              <w:spacing w:before="120"/>
              <w:outlineLvl w:val="3"/>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4-1</w:t>
            </w:r>
            <w:r>
              <w:rPr>
                <w:rFonts w:ascii="Arial" w:hAnsi="Arial"/>
                <w:b/>
                <w:szCs w:val="21"/>
                <w:u w:val="single"/>
                <w:lang w:eastAsia="ko-KR"/>
              </w:rPr>
              <w:t>: Whether ‘PC 2 single band UL-MIMO with PC3 PA + PC2 PA’ needs to be considered</w:t>
            </w:r>
          </w:p>
          <w:p w14:paraId="429B0626" w14:textId="77777777" w:rsidR="00DD7437" w:rsidRPr="003A6EBD" w:rsidRDefault="00DD7437" w:rsidP="00DD7437">
            <w:pPr>
              <w:snapToGrid w:val="0"/>
              <w:spacing w:before="60" w:after="60"/>
              <w:rPr>
                <w:szCs w:val="21"/>
              </w:rPr>
            </w:pPr>
            <w:r w:rsidRPr="003A6EBD">
              <w:rPr>
                <w:szCs w:val="21"/>
              </w:rPr>
              <w:t>Agreement:</w:t>
            </w:r>
          </w:p>
          <w:p w14:paraId="5047AD95" w14:textId="77777777" w:rsidR="00DD7437" w:rsidRPr="002C30C3" w:rsidRDefault="00DD7437" w:rsidP="00DD7437">
            <w:pPr>
              <w:pStyle w:val="aff6"/>
              <w:widowControl/>
              <w:numPr>
                <w:ilvl w:val="0"/>
                <w:numId w:val="33"/>
              </w:numPr>
              <w:overflowPunct w:val="0"/>
              <w:autoSpaceDE w:val="0"/>
              <w:autoSpaceDN w:val="0"/>
              <w:adjustRightInd w:val="0"/>
              <w:spacing w:after="180" w:line="259" w:lineRule="auto"/>
              <w:ind w:firstLineChars="0"/>
              <w:jc w:val="left"/>
              <w:textAlignment w:val="baseline"/>
              <w:rPr>
                <w:b/>
                <w:u w:val="single"/>
                <w:lang w:val="en-US"/>
              </w:rPr>
            </w:pPr>
            <w:r w:rsidRPr="00DD7437">
              <w:rPr>
                <w:rFonts w:ascii="Times New Roman" w:hAnsi="Times New Roman"/>
                <w:kern w:val="0"/>
                <w:sz w:val="20"/>
                <w:szCs w:val="21"/>
                <w:lang w:val="en-GB" w:eastAsia="zh-CN"/>
              </w:rPr>
              <w:t>Further study on the case ‘PC 2 single band UL-MIMO with PC3 PA + PC2 PA’.</w:t>
            </w:r>
          </w:p>
          <w:p w14:paraId="68DB00E6" w14:textId="77777777" w:rsidR="00DD7437" w:rsidRDefault="00DD7437" w:rsidP="00DD7437">
            <w:pPr>
              <w:rPr>
                <w:b/>
                <w:u w:val="single"/>
              </w:rPr>
            </w:pPr>
          </w:p>
          <w:p w14:paraId="34BE543E" w14:textId="77777777" w:rsidR="00DD7437" w:rsidRPr="003A6EBD" w:rsidRDefault="00DD7437" w:rsidP="00DD7437">
            <w:pPr>
              <w:keepNext/>
              <w:keepLines/>
              <w:spacing w:before="120"/>
              <w:outlineLvl w:val="3"/>
              <w:rPr>
                <w:rFonts w:ascii="Arial" w:hAnsi="Arial"/>
                <w:b/>
                <w:szCs w:val="21"/>
                <w:u w:val="single"/>
              </w:rPr>
            </w:pPr>
            <w:r>
              <w:rPr>
                <w:rFonts w:ascii="Arial" w:hAnsi="Arial"/>
                <w:b/>
                <w:szCs w:val="21"/>
                <w:u w:val="single"/>
                <w:lang w:eastAsia="ko-KR"/>
              </w:rPr>
              <w:t xml:space="preserve">Issue </w:t>
            </w:r>
            <w:r>
              <w:rPr>
                <w:rFonts w:ascii="Arial" w:hAnsi="Arial"/>
                <w:b/>
                <w:szCs w:val="21"/>
                <w:u w:val="single"/>
              </w:rPr>
              <w:t>1</w:t>
            </w:r>
            <w:r>
              <w:rPr>
                <w:rFonts w:ascii="Arial" w:hAnsi="Arial"/>
                <w:b/>
                <w:szCs w:val="21"/>
                <w:u w:val="single"/>
                <w:lang w:eastAsia="ko-KR"/>
              </w:rPr>
              <w:t>-</w:t>
            </w:r>
            <w:r>
              <w:rPr>
                <w:rFonts w:ascii="Arial" w:hAnsi="Arial"/>
                <w:b/>
                <w:szCs w:val="21"/>
                <w:u w:val="single"/>
              </w:rPr>
              <w:t>4-2</w:t>
            </w:r>
            <w:r>
              <w:rPr>
                <w:rFonts w:ascii="Arial" w:hAnsi="Arial"/>
                <w:b/>
                <w:szCs w:val="21"/>
                <w:u w:val="single"/>
                <w:lang w:eastAsia="ko-KR"/>
              </w:rPr>
              <w:t>: Whether 3PA/3Tx architecture needs to be considered</w:t>
            </w:r>
          </w:p>
          <w:p w14:paraId="04B29C74" w14:textId="77777777" w:rsidR="00DD7437" w:rsidRPr="003A6EBD" w:rsidRDefault="00DD7437" w:rsidP="00DD7437">
            <w:pPr>
              <w:snapToGrid w:val="0"/>
              <w:spacing w:before="60" w:after="60"/>
              <w:rPr>
                <w:szCs w:val="21"/>
              </w:rPr>
            </w:pPr>
            <w:r w:rsidRPr="003A6EBD">
              <w:rPr>
                <w:szCs w:val="21"/>
              </w:rPr>
              <w:t>Agreement:</w:t>
            </w:r>
          </w:p>
          <w:p w14:paraId="5328BE05" w14:textId="77777777" w:rsidR="00DD7437" w:rsidRDefault="00DD7437" w:rsidP="00DD7437">
            <w:pPr>
              <w:pStyle w:val="aff6"/>
              <w:widowControl/>
              <w:numPr>
                <w:ilvl w:val="0"/>
                <w:numId w:val="33"/>
              </w:numPr>
              <w:overflowPunct w:val="0"/>
              <w:autoSpaceDE w:val="0"/>
              <w:autoSpaceDN w:val="0"/>
              <w:adjustRightInd w:val="0"/>
              <w:spacing w:after="180" w:line="259" w:lineRule="auto"/>
              <w:ind w:firstLineChars="0"/>
              <w:jc w:val="left"/>
              <w:textAlignment w:val="baseline"/>
              <w:rPr>
                <w:rFonts w:eastAsiaTheme="minorEastAsia"/>
                <w:lang w:val="en-US" w:eastAsia="zh-CN"/>
              </w:rPr>
            </w:pPr>
            <w:r w:rsidRPr="00DD7437">
              <w:rPr>
                <w:rFonts w:ascii="Times New Roman" w:hAnsi="Times New Roman" w:hint="eastAsia"/>
                <w:kern w:val="0"/>
                <w:sz w:val="20"/>
                <w:szCs w:val="21"/>
                <w:lang w:val="en-GB" w:eastAsia="zh-CN"/>
              </w:rPr>
              <w:t>3</w:t>
            </w:r>
            <w:r w:rsidRPr="00DD7437">
              <w:rPr>
                <w:rFonts w:ascii="Times New Roman" w:hAnsi="Times New Roman"/>
                <w:kern w:val="0"/>
                <w:sz w:val="20"/>
                <w:szCs w:val="21"/>
                <w:lang w:val="en-GB" w:eastAsia="zh-CN"/>
              </w:rPr>
              <w:t>Tx architecture should not be considered in this WID.</w:t>
            </w:r>
          </w:p>
          <w:p w14:paraId="25D93936" w14:textId="77777777" w:rsidR="00506193" w:rsidRPr="00DD7437" w:rsidRDefault="00506193" w:rsidP="00AB1467">
            <w:pPr>
              <w:jc w:val="both"/>
              <w:rPr>
                <w:lang w:val="en-US"/>
              </w:rPr>
            </w:pPr>
          </w:p>
        </w:tc>
      </w:tr>
    </w:tbl>
    <w:p w14:paraId="05BE6015" w14:textId="44525A8A" w:rsidR="00AB1467" w:rsidRDefault="004B5218" w:rsidP="00AB1467">
      <w:pPr>
        <w:jc w:val="both"/>
      </w:pPr>
      <w:r>
        <w:lastRenderedPageBreak/>
        <w:t>In this contribution,</w:t>
      </w:r>
      <w:r w:rsidR="005E7B01">
        <w:t xml:space="preserve"> </w:t>
      </w:r>
      <w:r w:rsidR="00D6342C">
        <w:t xml:space="preserve">we would like </w:t>
      </w:r>
      <w:r w:rsidR="00AD3838">
        <w:t>to share our views regarding</w:t>
      </w:r>
      <w:r w:rsidR="0069092D">
        <w:t xml:space="preserve"> </w:t>
      </w:r>
      <w:r w:rsidR="00DA0EEC">
        <w:t>th</w:t>
      </w:r>
      <w:r>
        <w:t xml:space="preserve">e FFS </w:t>
      </w:r>
      <w:r w:rsidR="00DD7437">
        <w:t>points</w:t>
      </w:r>
      <w:r w:rsidR="00D01300">
        <w:t>.</w:t>
      </w:r>
    </w:p>
    <w:p w14:paraId="4B01C4F5" w14:textId="77777777" w:rsidR="00062E8E" w:rsidRDefault="00062E8E" w:rsidP="00F23E96">
      <w:pPr>
        <w:pStyle w:val="1"/>
        <w:spacing w:after="240"/>
        <w:rPr>
          <w:rFonts w:eastAsia="宋体"/>
          <w:lang w:eastAsia="zh-CN"/>
        </w:rPr>
      </w:pPr>
      <w:r>
        <w:rPr>
          <w:rFonts w:eastAsia="宋体" w:hint="eastAsia"/>
          <w:lang w:eastAsia="zh-CN"/>
        </w:rPr>
        <w:t>Discussion</w:t>
      </w:r>
    </w:p>
    <w:p w14:paraId="0A81D51B" w14:textId="0EC46683" w:rsidR="00F24C76" w:rsidRDefault="00C11133" w:rsidP="00F24C76">
      <w:pPr>
        <w:pStyle w:val="2"/>
        <w:spacing w:after="240"/>
      </w:pPr>
      <w:r>
        <w:t xml:space="preserve">On the inter-band UL CA scenario </w:t>
      </w:r>
    </w:p>
    <w:p w14:paraId="1F9D725A" w14:textId="3C80A14F" w:rsidR="00C11133" w:rsidRDefault="00C11133" w:rsidP="00ED597C">
      <w:pPr>
        <w:jc w:val="both"/>
      </w:pPr>
      <w:r>
        <w:t xml:space="preserve">During last meeting, some components have shown their interests on including inter-band UL CA for PC5 for one band. From our understanding, this </w:t>
      </w:r>
      <w:r w:rsidR="00ED597C">
        <w:t>is a simple extension of</w:t>
      </w:r>
      <w:r>
        <w:t xml:space="preserve"> </w:t>
      </w:r>
      <w:r w:rsidR="00ED597C" w:rsidRPr="007B39D0">
        <w:rPr>
          <w:iCs/>
          <w:lang w:val="en-US"/>
        </w:rPr>
        <w:t xml:space="preserve">Rel-17 RAN4 work on “Increasing UE </w:t>
      </w:r>
      <w:r w:rsidR="00ED597C">
        <w:rPr>
          <w:iCs/>
          <w:lang w:val="en-US"/>
        </w:rPr>
        <w:t>power high limit for CA and DC”</w:t>
      </w:r>
      <w:r>
        <w:t>, which is aligned with the WID</w:t>
      </w:r>
      <w:r w:rsidR="00ED597C">
        <w:t>. Thus we have the following proposal.</w:t>
      </w:r>
      <w:r>
        <w:t xml:space="preserve">  </w:t>
      </w:r>
    </w:p>
    <w:p w14:paraId="64737484" w14:textId="086AB838" w:rsidR="00ED597C" w:rsidRDefault="009C2BE7" w:rsidP="00ED597C">
      <w:pPr>
        <w:jc w:val="both"/>
        <w:rPr>
          <w:b/>
          <w:i/>
        </w:rPr>
      </w:pPr>
      <w:r>
        <w:rPr>
          <w:b/>
          <w:i/>
        </w:rPr>
        <w:lastRenderedPageBreak/>
        <w:t xml:space="preserve">Proposal 1: </w:t>
      </w:r>
      <w:r w:rsidR="00ED597C">
        <w:rPr>
          <w:b/>
          <w:i/>
        </w:rPr>
        <w:t xml:space="preserve">Consider inter-band UL CA with PC5 band in this WI if it is based on the operator demands. Because the Rel-17 </w:t>
      </w:r>
      <w:r w:rsidR="00ED597C" w:rsidRPr="00ED597C">
        <w:rPr>
          <w:b/>
          <w:i/>
        </w:rPr>
        <w:t>RAN4 work on “Increasing UE power high limit for CA and DC”</w:t>
      </w:r>
      <w:r w:rsidR="00ED597C">
        <w:rPr>
          <w:b/>
          <w:i/>
        </w:rPr>
        <w:t xml:space="preserve"> can be simply extended to this scenario. </w:t>
      </w:r>
    </w:p>
    <w:p w14:paraId="3D35F160" w14:textId="37B2496A" w:rsidR="00711D0A" w:rsidRDefault="00711D0A" w:rsidP="00F31D7D">
      <w:pPr>
        <w:pStyle w:val="2"/>
        <w:spacing w:after="240"/>
      </w:pPr>
      <w:r>
        <w:t xml:space="preserve">On the </w:t>
      </w:r>
      <w:r w:rsidR="00BD51BD">
        <w:t>intra-band UL CA scenario</w:t>
      </w:r>
    </w:p>
    <w:p w14:paraId="0383F3EB" w14:textId="153CC944" w:rsidR="00DF6EBC" w:rsidRDefault="00DA3FCB" w:rsidP="000D2697">
      <w:pPr>
        <w:jc w:val="both"/>
        <w:rPr>
          <w:lang w:eastAsia="en-US"/>
        </w:rPr>
      </w:pPr>
      <w:r>
        <w:rPr>
          <w:lang w:eastAsia="en-US"/>
        </w:rPr>
        <w:t xml:space="preserve">This case was proposed for the intra-band </w:t>
      </w:r>
      <w:r w:rsidR="00E3127B">
        <w:rPr>
          <w:lang w:eastAsia="en-US"/>
        </w:rPr>
        <w:t>contiguous/non-contiguous UL</w:t>
      </w:r>
      <w:r>
        <w:rPr>
          <w:lang w:eastAsia="en-US"/>
        </w:rPr>
        <w:t xml:space="preserve"> CA with 23dBm on CC1 and 26dBm on CC2.</w:t>
      </w:r>
      <w:r w:rsidR="000D2697">
        <w:rPr>
          <w:lang w:eastAsia="en-US"/>
        </w:rPr>
        <w:t xml:space="preserve"> </w:t>
      </w:r>
      <w:r w:rsidR="009630FF">
        <w:rPr>
          <w:lang w:eastAsia="en-US"/>
        </w:rPr>
        <w:t>At least t</w:t>
      </w:r>
      <w:r w:rsidR="000D2697">
        <w:rPr>
          <w:lang w:eastAsia="en-US"/>
        </w:rPr>
        <w:t>he following spec impacts can be foreseen:</w:t>
      </w:r>
    </w:p>
    <w:p w14:paraId="240438D7" w14:textId="1001E2B8" w:rsidR="00DA3FCB" w:rsidRPr="00116EFE" w:rsidRDefault="00E3127B" w:rsidP="00116EFE">
      <w:pPr>
        <w:pStyle w:val="aff6"/>
        <w:numPr>
          <w:ilvl w:val="0"/>
          <w:numId w:val="37"/>
        </w:numPr>
        <w:ind w:firstLineChars="0"/>
        <w:rPr>
          <w:rFonts w:ascii="Times New Roman" w:hAnsi="Times New Roman"/>
          <w:kern w:val="0"/>
          <w:sz w:val="20"/>
          <w:szCs w:val="20"/>
          <w:lang w:val="en-GB" w:eastAsia="en-US"/>
        </w:rPr>
      </w:pPr>
      <w:r w:rsidRPr="00116EFE">
        <w:rPr>
          <w:rFonts w:ascii="Times New Roman" w:hAnsi="Times New Roman"/>
          <w:kern w:val="0"/>
          <w:sz w:val="20"/>
          <w:szCs w:val="20"/>
          <w:lang w:val="en-GB" w:eastAsia="en-US"/>
        </w:rPr>
        <w:t xml:space="preserve">New MPA/A-MPR requirements </w:t>
      </w:r>
      <w:r w:rsidR="00A15C32">
        <w:rPr>
          <w:rFonts w:ascii="Times New Roman" w:hAnsi="Times New Roman"/>
          <w:kern w:val="0"/>
          <w:sz w:val="20"/>
          <w:szCs w:val="20"/>
          <w:lang w:val="en-GB" w:eastAsia="en-US"/>
        </w:rPr>
        <w:t>would</w:t>
      </w:r>
      <w:r w:rsidRPr="00116EFE">
        <w:rPr>
          <w:rFonts w:ascii="Times New Roman" w:hAnsi="Times New Roman"/>
          <w:kern w:val="0"/>
          <w:sz w:val="20"/>
          <w:szCs w:val="20"/>
          <w:lang w:val="en-GB" w:eastAsia="en-US"/>
        </w:rPr>
        <w:t xml:space="preserve"> be needed.</w:t>
      </w:r>
    </w:p>
    <w:p w14:paraId="03E3F466" w14:textId="77674702" w:rsidR="00E3127B" w:rsidRPr="00116EFE" w:rsidRDefault="00943620" w:rsidP="00116EFE">
      <w:pPr>
        <w:pStyle w:val="aff6"/>
        <w:numPr>
          <w:ilvl w:val="0"/>
          <w:numId w:val="37"/>
        </w:numPr>
        <w:ind w:firstLineChars="0"/>
        <w:rPr>
          <w:rFonts w:ascii="Times New Roman" w:hAnsi="Times New Roman"/>
          <w:kern w:val="0"/>
          <w:sz w:val="20"/>
          <w:szCs w:val="20"/>
          <w:lang w:val="en-GB" w:eastAsia="en-US"/>
        </w:rPr>
      </w:pPr>
      <w:r w:rsidRPr="00116EFE">
        <w:rPr>
          <w:rFonts w:ascii="Times New Roman" w:hAnsi="Times New Roman"/>
          <w:kern w:val="0"/>
          <w:sz w:val="20"/>
          <w:szCs w:val="20"/>
          <w:lang w:val="en-GB" w:eastAsia="en-US"/>
        </w:rPr>
        <w:t xml:space="preserve">Power class can only be configured for the band rather than </w:t>
      </w:r>
      <w:r w:rsidR="00116EFE" w:rsidRPr="00116EFE">
        <w:rPr>
          <w:rFonts w:ascii="Times New Roman" w:hAnsi="Times New Roman"/>
          <w:kern w:val="0"/>
          <w:sz w:val="20"/>
          <w:szCs w:val="20"/>
          <w:lang w:val="en-GB" w:eastAsia="en-US"/>
        </w:rPr>
        <w:t>per CC.</w:t>
      </w:r>
    </w:p>
    <w:p w14:paraId="6925F614" w14:textId="77777777" w:rsidR="009630FF" w:rsidRDefault="009630FF" w:rsidP="00E3127B">
      <w:pPr>
        <w:jc w:val="both"/>
        <w:rPr>
          <w:lang w:eastAsia="en-US"/>
        </w:rPr>
      </w:pPr>
      <w:r>
        <w:rPr>
          <w:lang w:eastAsia="en-US"/>
        </w:rPr>
        <w:t>Thus, i</w:t>
      </w:r>
      <w:r w:rsidR="00116EFE">
        <w:rPr>
          <w:lang w:eastAsia="en-US"/>
        </w:rPr>
        <w:t xml:space="preserve">t seems quite clear that the Rel-17 work for inter-band cannot be simply used here. </w:t>
      </w:r>
      <w:r w:rsidR="00E3127B">
        <w:rPr>
          <w:lang w:eastAsia="en-US"/>
        </w:rPr>
        <w:t xml:space="preserve">Note that the typical scenario for intra-band UL CA is co-located, so the PSD for the two UL CCs should be equal. Consequently the gain for </w:t>
      </w:r>
      <w:r w:rsidR="00116EFE">
        <w:rPr>
          <w:lang w:eastAsia="en-US"/>
        </w:rPr>
        <w:t>the above configuration</w:t>
      </w:r>
      <w:r w:rsidR="00E3127B">
        <w:rPr>
          <w:lang w:eastAsia="en-US"/>
        </w:rPr>
        <w:t xml:space="preserve"> is questionable.</w:t>
      </w:r>
      <w:r w:rsidR="00116EFE">
        <w:rPr>
          <w:lang w:eastAsia="en-US"/>
        </w:rPr>
        <w:t xml:space="preserve"> Moreover, PC1.5 could serve the higher power limit purpose from our understanding. </w:t>
      </w:r>
    </w:p>
    <w:p w14:paraId="0129FB36" w14:textId="0D3F81EE" w:rsidR="00ED597C" w:rsidRDefault="009630FF" w:rsidP="00E3127B">
      <w:pPr>
        <w:jc w:val="both"/>
        <w:rPr>
          <w:b/>
          <w:i/>
        </w:rPr>
      </w:pPr>
      <w:r>
        <w:rPr>
          <w:b/>
          <w:i/>
        </w:rPr>
        <w:t>Observation 1: The spec impacts to enable different MOP on different</w:t>
      </w:r>
      <w:r w:rsidR="00ED597C">
        <w:rPr>
          <w:b/>
          <w:i/>
        </w:rPr>
        <w:t xml:space="preserve"> CC for intra-band UL CA is big</w:t>
      </w:r>
      <w:r>
        <w:rPr>
          <w:b/>
          <w:i/>
        </w:rPr>
        <w:t xml:space="preserve"> </w:t>
      </w:r>
      <w:r w:rsidR="00ED597C">
        <w:rPr>
          <w:b/>
          <w:i/>
        </w:rPr>
        <w:t>at least for the following two aspects, but the gain seems still unclear:</w:t>
      </w:r>
    </w:p>
    <w:p w14:paraId="25C43541" w14:textId="77777777" w:rsidR="00ED597C" w:rsidRPr="00ED597C" w:rsidRDefault="00ED597C" w:rsidP="00ED597C">
      <w:pPr>
        <w:pStyle w:val="aff6"/>
        <w:numPr>
          <w:ilvl w:val="0"/>
          <w:numId w:val="37"/>
        </w:numPr>
        <w:ind w:firstLineChars="0"/>
        <w:rPr>
          <w:rFonts w:ascii="Times New Roman" w:hAnsi="Times New Roman"/>
          <w:b/>
          <w:i/>
          <w:kern w:val="0"/>
          <w:sz w:val="20"/>
          <w:szCs w:val="20"/>
          <w:lang w:val="en-GB" w:eastAsia="zh-CN"/>
        </w:rPr>
      </w:pPr>
      <w:r w:rsidRPr="00ED597C">
        <w:rPr>
          <w:rFonts w:ascii="Times New Roman" w:hAnsi="Times New Roman"/>
          <w:b/>
          <w:i/>
          <w:kern w:val="0"/>
          <w:sz w:val="20"/>
          <w:szCs w:val="20"/>
          <w:lang w:val="en-GB" w:eastAsia="zh-CN"/>
        </w:rPr>
        <w:t>New MPA/A-MPR requirements would be needed.</w:t>
      </w:r>
    </w:p>
    <w:p w14:paraId="6C323191" w14:textId="611FC793" w:rsidR="00ED597C" w:rsidRPr="00ED597C" w:rsidRDefault="00ED597C" w:rsidP="00E3127B">
      <w:pPr>
        <w:pStyle w:val="aff6"/>
        <w:numPr>
          <w:ilvl w:val="0"/>
          <w:numId w:val="37"/>
        </w:numPr>
        <w:ind w:firstLineChars="0"/>
        <w:rPr>
          <w:rFonts w:ascii="Times New Roman" w:hAnsi="Times New Roman"/>
          <w:b/>
          <w:i/>
          <w:kern w:val="0"/>
          <w:sz w:val="20"/>
          <w:szCs w:val="20"/>
          <w:lang w:val="en-GB" w:eastAsia="zh-CN"/>
        </w:rPr>
      </w:pPr>
      <w:r w:rsidRPr="00ED597C">
        <w:rPr>
          <w:rFonts w:ascii="Times New Roman" w:hAnsi="Times New Roman"/>
          <w:b/>
          <w:i/>
          <w:kern w:val="0"/>
          <w:sz w:val="20"/>
          <w:szCs w:val="20"/>
          <w:lang w:val="en-GB" w:eastAsia="zh-CN"/>
        </w:rPr>
        <w:t>Power class can only be configured for the band rather than per CC.</w:t>
      </w:r>
    </w:p>
    <w:p w14:paraId="22AF891A" w14:textId="7451B2A4" w:rsidR="00F24C76" w:rsidRDefault="00ED597C" w:rsidP="00E3127B">
      <w:pPr>
        <w:jc w:val="both"/>
        <w:rPr>
          <w:lang w:eastAsia="en-US"/>
        </w:rPr>
      </w:pPr>
      <w:r>
        <w:rPr>
          <w:lang w:eastAsia="en-US"/>
        </w:rPr>
        <w:t>Note that this WI is led by RAN1 but neither a spectrum related nor non-spectrum related WI which could be led by RAN4, s</w:t>
      </w:r>
      <w:r w:rsidR="00116EFE">
        <w:rPr>
          <w:lang w:eastAsia="en-US"/>
        </w:rPr>
        <w:t>o we have the following proposal.</w:t>
      </w:r>
    </w:p>
    <w:p w14:paraId="712CBC10" w14:textId="03EF0E1E" w:rsidR="00116EFE" w:rsidRDefault="00116EFE" w:rsidP="00E3127B">
      <w:pPr>
        <w:jc w:val="both"/>
        <w:rPr>
          <w:lang w:eastAsia="en-US"/>
        </w:rPr>
      </w:pPr>
      <w:r>
        <w:rPr>
          <w:b/>
          <w:i/>
        </w:rPr>
        <w:t xml:space="preserve">Proposal </w:t>
      </w:r>
      <w:r w:rsidR="00D9516F">
        <w:rPr>
          <w:b/>
          <w:i/>
        </w:rPr>
        <w:t>2</w:t>
      </w:r>
      <w:r>
        <w:rPr>
          <w:b/>
          <w:i/>
        </w:rPr>
        <w:t>: The intra-band UL CA scenario should not be considered in this WI.</w:t>
      </w:r>
    </w:p>
    <w:p w14:paraId="1DEDBD81" w14:textId="29CF5BF0" w:rsidR="00F31D7D" w:rsidRDefault="00454B8A" w:rsidP="00F31D7D">
      <w:pPr>
        <w:pStyle w:val="2"/>
        <w:spacing w:after="240"/>
      </w:pPr>
      <w:r>
        <w:t xml:space="preserve">On the </w:t>
      </w:r>
      <w:r w:rsidR="0052664A">
        <w:t xml:space="preserve">UL MIMO scenario </w:t>
      </w:r>
    </w:p>
    <w:p w14:paraId="0952DD36" w14:textId="1ACE69BF" w:rsidR="00467FC2" w:rsidRDefault="00DC3A75" w:rsidP="00135814">
      <w:pPr>
        <w:jc w:val="both"/>
        <w:rPr>
          <w:lang w:eastAsia="en-US"/>
        </w:rPr>
      </w:pPr>
      <w:r>
        <w:rPr>
          <w:lang w:eastAsia="en-US"/>
        </w:rPr>
        <w:t>T</w:t>
      </w:r>
      <w:r w:rsidR="00135814">
        <w:rPr>
          <w:lang w:eastAsia="en-US"/>
        </w:rPr>
        <w:t xml:space="preserve">his case was proposed for the UL MIMO capable UE with 23dBm+26dBm PA configuration. But we think </w:t>
      </w:r>
      <w:r w:rsidR="006745D6">
        <w:rPr>
          <w:lang w:eastAsia="en-US"/>
        </w:rPr>
        <w:t>the necessity for furthe</w:t>
      </w:r>
      <w:r w:rsidR="00E57102">
        <w:rPr>
          <w:lang w:eastAsia="en-US"/>
        </w:rPr>
        <w:t xml:space="preserve">r study shall be justified. </w:t>
      </w:r>
      <w:r w:rsidR="00CB5217">
        <w:rPr>
          <w:lang w:eastAsia="en-US"/>
        </w:rPr>
        <w:t>F</w:t>
      </w:r>
      <w:r w:rsidR="00AF68C6">
        <w:rPr>
          <w:lang w:eastAsia="en-US"/>
        </w:rPr>
        <w:t>rom the WI perspective, UL MIMO seems not to be a typical case for coverage enhancement</w:t>
      </w:r>
      <w:r w:rsidR="006745D6">
        <w:rPr>
          <w:lang w:eastAsia="en-US"/>
        </w:rPr>
        <w:t>.</w:t>
      </w:r>
      <w:r w:rsidR="00AF68C6">
        <w:rPr>
          <w:lang w:eastAsia="en-US"/>
        </w:rPr>
        <w:t xml:space="preserve"> </w:t>
      </w:r>
      <w:r w:rsidR="006745D6">
        <w:rPr>
          <w:lang w:eastAsia="en-US"/>
        </w:rPr>
        <w:t>Besides, this case is quite different from inter-band CA/DC. What has been done for the Rel-17 WI cannot be simply extended to this case.</w:t>
      </w:r>
    </w:p>
    <w:p w14:paraId="7BBB9109" w14:textId="00CCD002" w:rsidR="00E57102" w:rsidRPr="003453EB" w:rsidRDefault="00E57102" w:rsidP="00135814">
      <w:pPr>
        <w:jc w:val="both"/>
        <w:rPr>
          <w:b/>
          <w:i/>
        </w:rPr>
      </w:pPr>
      <w:r>
        <w:rPr>
          <w:b/>
          <w:i/>
        </w:rPr>
        <w:t xml:space="preserve">Observation </w:t>
      </w:r>
      <w:r w:rsidR="00E44C92">
        <w:rPr>
          <w:b/>
          <w:i/>
        </w:rPr>
        <w:t>2</w:t>
      </w:r>
      <w:r>
        <w:rPr>
          <w:b/>
          <w:i/>
        </w:rPr>
        <w:t xml:space="preserve">: </w:t>
      </w:r>
      <w:r w:rsidRPr="00E57102">
        <w:rPr>
          <w:b/>
          <w:i/>
        </w:rPr>
        <w:t>UL MIMO seems not to be a typical case for coverage enhancement, and what has been done for the Rel-17 WI cannot be simply ex</w:t>
      </w:r>
      <w:r>
        <w:rPr>
          <w:b/>
          <w:i/>
        </w:rPr>
        <w:t>tended to this case.</w:t>
      </w:r>
    </w:p>
    <w:p w14:paraId="70AE9C21" w14:textId="2CD192E3" w:rsidR="005870EA" w:rsidRDefault="000A695D" w:rsidP="00135814">
      <w:pPr>
        <w:jc w:val="both"/>
        <w:rPr>
          <w:lang w:eastAsia="en-US"/>
        </w:rPr>
      </w:pPr>
      <w:r>
        <w:rPr>
          <w:lang w:eastAsia="en-US"/>
        </w:rPr>
        <w:t>From the potential gain perspective, s</w:t>
      </w:r>
      <w:r w:rsidR="003453EB">
        <w:rPr>
          <w:lang w:eastAsia="en-US"/>
        </w:rPr>
        <w:t>ince we already have PC2 (can be realized by e.g</w:t>
      </w:r>
      <w:r w:rsidR="00912968">
        <w:rPr>
          <w:lang w:eastAsia="en-US"/>
        </w:rPr>
        <w:t>.</w:t>
      </w:r>
      <w:r w:rsidR="003453EB">
        <w:rPr>
          <w:lang w:eastAsia="en-US"/>
        </w:rPr>
        <w:t xml:space="preserve"> indication of full power transmission mode 2 for the aforementioned type of UE) and PC1.5</w:t>
      </w:r>
      <w:r w:rsidR="00B90C64">
        <w:rPr>
          <w:lang w:eastAsia="en-US"/>
        </w:rPr>
        <w:t xml:space="preserve"> (</w:t>
      </w:r>
      <w:r w:rsidR="00F67E82">
        <w:rPr>
          <w:lang w:eastAsia="en-US"/>
        </w:rPr>
        <w:t xml:space="preserve">would </w:t>
      </w:r>
      <w:r w:rsidR="00B90C64">
        <w:rPr>
          <w:lang w:eastAsia="en-US"/>
        </w:rPr>
        <w:t>require advance</w:t>
      </w:r>
      <w:r w:rsidR="00F67E82">
        <w:rPr>
          <w:lang w:eastAsia="en-US"/>
        </w:rPr>
        <w:t>d</w:t>
      </w:r>
      <w:r w:rsidR="00B90C64">
        <w:rPr>
          <w:lang w:eastAsia="en-US"/>
        </w:rPr>
        <w:t xml:space="preserve"> PA), </w:t>
      </w:r>
      <w:r w:rsidR="00E57102">
        <w:rPr>
          <w:lang w:eastAsia="en-US"/>
        </w:rPr>
        <w:t xml:space="preserve">the </w:t>
      </w:r>
      <w:r w:rsidR="00C4207E">
        <w:rPr>
          <w:lang w:eastAsia="en-US"/>
        </w:rPr>
        <w:t>necessity</w:t>
      </w:r>
      <w:r w:rsidR="00B90C64">
        <w:rPr>
          <w:lang w:eastAsia="en-US"/>
        </w:rPr>
        <w:t xml:space="preserve"> of </w:t>
      </w:r>
      <w:r w:rsidR="00E57102">
        <w:rPr>
          <w:lang w:eastAsia="en-US"/>
        </w:rPr>
        <w:t>introduc</w:t>
      </w:r>
      <w:r w:rsidR="00B90C64">
        <w:rPr>
          <w:lang w:eastAsia="en-US"/>
        </w:rPr>
        <w:t>ing</w:t>
      </w:r>
      <w:r w:rsidR="00E57102">
        <w:rPr>
          <w:lang w:eastAsia="en-US"/>
        </w:rPr>
        <w:t xml:space="preserve"> 27.8dBm</w:t>
      </w:r>
      <w:r w:rsidR="00327B5C">
        <w:rPr>
          <w:lang w:eastAsia="en-US"/>
        </w:rPr>
        <w:t xml:space="preserve"> along with any new requirements</w:t>
      </w:r>
      <w:r w:rsidR="00B90C64">
        <w:rPr>
          <w:lang w:eastAsia="en-US"/>
        </w:rPr>
        <w:t xml:space="preserve"> </w:t>
      </w:r>
      <w:r w:rsidR="00327B5C">
        <w:rPr>
          <w:lang w:eastAsia="en-US"/>
        </w:rPr>
        <w:t>seems</w:t>
      </w:r>
      <w:r w:rsidR="001405AC">
        <w:rPr>
          <w:lang w:eastAsia="en-US"/>
        </w:rPr>
        <w:t xml:space="preserve"> </w:t>
      </w:r>
      <w:r w:rsidR="00327B5C">
        <w:rPr>
          <w:lang w:eastAsia="en-US"/>
        </w:rPr>
        <w:t>less</w:t>
      </w:r>
      <w:r w:rsidR="00B90C64">
        <w:rPr>
          <w:lang w:eastAsia="en-US"/>
        </w:rPr>
        <w:t xml:space="preserve">. </w:t>
      </w:r>
    </w:p>
    <w:p w14:paraId="5C8B006E" w14:textId="2D94F8F0" w:rsidR="005870EA" w:rsidRPr="005870EA" w:rsidRDefault="005870EA" w:rsidP="00135814">
      <w:pPr>
        <w:jc w:val="both"/>
        <w:rPr>
          <w:b/>
          <w:i/>
        </w:rPr>
      </w:pPr>
      <w:r>
        <w:rPr>
          <w:b/>
          <w:i/>
        </w:rPr>
        <w:t xml:space="preserve">Observation </w:t>
      </w:r>
      <w:r w:rsidR="00E44C92">
        <w:rPr>
          <w:b/>
          <w:i/>
        </w:rPr>
        <w:t>3</w:t>
      </w:r>
      <w:r>
        <w:rPr>
          <w:b/>
          <w:i/>
        </w:rPr>
        <w:t xml:space="preserve">: Since we already have PC2 </w:t>
      </w:r>
      <w:r w:rsidRPr="005870EA">
        <w:rPr>
          <w:b/>
          <w:i/>
        </w:rPr>
        <w:t xml:space="preserve">(can be realized by e.g. indication of full power transmission mode 2 for the aforementioned type of UE) and PC1.5 (would require advanced PA), the necessity of introducing 27.8dBm </w:t>
      </w:r>
      <w:r w:rsidR="00327B5C" w:rsidRPr="00327B5C">
        <w:rPr>
          <w:b/>
          <w:i/>
        </w:rPr>
        <w:t xml:space="preserve">along with any new requirements </w:t>
      </w:r>
      <w:r>
        <w:rPr>
          <w:b/>
          <w:i/>
        </w:rPr>
        <w:t>seems less.</w:t>
      </w:r>
    </w:p>
    <w:p w14:paraId="417001BC" w14:textId="1F122B96" w:rsidR="00C4207E" w:rsidRDefault="00ED597C" w:rsidP="00B2371E">
      <w:pPr>
        <w:jc w:val="both"/>
        <w:rPr>
          <w:lang w:eastAsia="en-US"/>
        </w:rPr>
      </w:pPr>
      <w:r>
        <w:rPr>
          <w:rFonts w:hint="eastAsia"/>
        </w:rPr>
        <w:t>Since</w:t>
      </w:r>
      <w:r>
        <w:t xml:space="preserve"> from Rel-15, </w:t>
      </w:r>
      <w:r w:rsidR="00B2371E">
        <w:rPr>
          <w:lang w:eastAsia="en-US"/>
        </w:rPr>
        <w:t xml:space="preserve">the power is equally split according to the </w:t>
      </w:r>
      <w:proofErr w:type="spellStart"/>
      <w:r w:rsidR="00B2371E">
        <w:rPr>
          <w:lang w:eastAsia="en-US"/>
        </w:rPr>
        <w:t>precoder</w:t>
      </w:r>
      <w:proofErr w:type="spellEnd"/>
      <w:r w:rsidR="00B2371E">
        <w:rPr>
          <w:lang w:eastAsia="en-US"/>
        </w:rPr>
        <w:t xml:space="preserve"> design. It seems that new </w:t>
      </w:r>
      <w:proofErr w:type="spellStart"/>
      <w:r w:rsidR="00B2371E">
        <w:rPr>
          <w:lang w:eastAsia="en-US"/>
        </w:rPr>
        <w:t>precoder</w:t>
      </w:r>
      <w:proofErr w:type="spellEnd"/>
      <w:r w:rsidR="00B2371E">
        <w:rPr>
          <w:lang w:eastAsia="en-US"/>
        </w:rPr>
        <w:t xml:space="preserve"> is needed to realize 23dBm+26dBm</w:t>
      </w:r>
      <w:r>
        <w:rPr>
          <w:lang w:eastAsia="en-US"/>
        </w:rPr>
        <w:t xml:space="preserve"> UL MIMO</w:t>
      </w:r>
      <w:r w:rsidR="00B2371E">
        <w:rPr>
          <w:lang w:eastAsia="en-US"/>
        </w:rPr>
        <w:t xml:space="preserve"> transmission. This is definitely a big spec impact and should not be considered until concrete justification for the gain can be provided.</w:t>
      </w:r>
    </w:p>
    <w:p w14:paraId="551FD037" w14:textId="76F1A15B" w:rsidR="005870EA" w:rsidRDefault="005870EA" w:rsidP="005870EA">
      <w:pPr>
        <w:jc w:val="both"/>
        <w:rPr>
          <w:b/>
          <w:i/>
        </w:rPr>
      </w:pPr>
      <w:r>
        <w:rPr>
          <w:b/>
          <w:i/>
        </w:rPr>
        <w:t xml:space="preserve">Observation </w:t>
      </w:r>
      <w:r w:rsidR="00E44C92">
        <w:rPr>
          <w:b/>
          <w:i/>
        </w:rPr>
        <w:t>4</w:t>
      </w:r>
      <w:r>
        <w:rPr>
          <w:b/>
          <w:i/>
        </w:rPr>
        <w:t xml:space="preserve">: </w:t>
      </w:r>
      <w:r w:rsidR="00ED597C">
        <w:rPr>
          <w:b/>
          <w:i/>
        </w:rPr>
        <w:t>T</w:t>
      </w:r>
      <w:r w:rsidR="00083E1D">
        <w:rPr>
          <w:b/>
          <w:i/>
        </w:rPr>
        <w:t xml:space="preserve">he </w:t>
      </w:r>
      <w:r w:rsidR="004A1D04">
        <w:rPr>
          <w:b/>
          <w:i/>
        </w:rPr>
        <w:t xml:space="preserve">pre-assumption of the </w:t>
      </w:r>
      <w:r w:rsidR="00083E1D">
        <w:rPr>
          <w:b/>
          <w:i/>
        </w:rPr>
        <w:t xml:space="preserve">current specified </w:t>
      </w:r>
      <w:proofErr w:type="spellStart"/>
      <w:r>
        <w:rPr>
          <w:b/>
          <w:i/>
        </w:rPr>
        <w:t>precoder</w:t>
      </w:r>
      <w:proofErr w:type="spellEnd"/>
      <w:r w:rsidR="00083E1D">
        <w:rPr>
          <w:b/>
          <w:i/>
        </w:rPr>
        <w:t xml:space="preserve"> doesn’t support</w:t>
      </w:r>
      <w:r>
        <w:rPr>
          <w:b/>
          <w:i/>
        </w:rPr>
        <w:t xml:space="preserve"> non-equally power split.</w:t>
      </w:r>
    </w:p>
    <w:p w14:paraId="7B7CC0AA" w14:textId="5F9BA21D" w:rsidR="00083E1D" w:rsidRPr="00083E1D" w:rsidRDefault="00083E1D" w:rsidP="005870EA">
      <w:pPr>
        <w:jc w:val="both"/>
        <w:rPr>
          <w:lang w:eastAsia="en-US"/>
        </w:rPr>
      </w:pPr>
      <w:r w:rsidRPr="00083E1D">
        <w:rPr>
          <w:lang w:eastAsia="en-US"/>
        </w:rPr>
        <w:t>In conclusion, we have the following proposal.</w:t>
      </w:r>
    </w:p>
    <w:p w14:paraId="6436D689" w14:textId="064E0DBE" w:rsidR="00DA3FCB" w:rsidRDefault="005870EA" w:rsidP="007D0010">
      <w:pPr>
        <w:rPr>
          <w:b/>
          <w:i/>
        </w:rPr>
      </w:pPr>
      <w:r>
        <w:rPr>
          <w:b/>
          <w:i/>
        </w:rPr>
        <w:t xml:space="preserve">Proposal </w:t>
      </w:r>
      <w:r w:rsidR="000A55E3">
        <w:rPr>
          <w:b/>
          <w:i/>
        </w:rPr>
        <w:t>2</w:t>
      </w:r>
      <w:r>
        <w:rPr>
          <w:b/>
          <w:i/>
        </w:rPr>
        <w:t xml:space="preserve">: The UL MIMO scenario should not be considered </w:t>
      </w:r>
      <w:r w:rsidR="00327B5C">
        <w:rPr>
          <w:b/>
          <w:i/>
        </w:rPr>
        <w:t>in this WI.</w:t>
      </w:r>
      <w:r>
        <w:rPr>
          <w:b/>
          <w:i/>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6672B8B1" w14:textId="631D41AA" w:rsidR="00331B42" w:rsidRPr="0008183E"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first objective of</w:t>
      </w:r>
      <w:r w:rsidR="00B27CF3">
        <w:t xml:space="preserve"> </w:t>
      </w:r>
      <w:r w:rsidR="0052664A">
        <w:t xml:space="preserve">the </w:t>
      </w:r>
      <w:r w:rsidR="00B27CF3">
        <w:t>Rel-18</w:t>
      </w:r>
      <w:r>
        <w:t xml:space="preserve"> </w:t>
      </w:r>
      <w:r w:rsidR="00B27CF3" w:rsidRPr="00B27CF3">
        <w:t>further enhancement for NR UL coverage</w:t>
      </w:r>
      <w:r w:rsidR="0052664A">
        <w:t xml:space="preserve"> WI</w:t>
      </w:r>
      <w:r w:rsidRPr="00086BFD">
        <w:t xml:space="preserve">, we have the following </w:t>
      </w:r>
      <w:r w:rsidR="00FB341C">
        <w:t>observation</w:t>
      </w:r>
      <w:r w:rsidR="00331B4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1247F523" w14:textId="77777777" w:rsidR="00D9516F" w:rsidRDefault="00D9516F" w:rsidP="00D9516F">
      <w:pPr>
        <w:jc w:val="both"/>
        <w:rPr>
          <w:b/>
          <w:i/>
        </w:rPr>
      </w:pPr>
      <w:r>
        <w:rPr>
          <w:b/>
          <w:i/>
        </w:rPr>
        <w:t>Observation 1: The spec impacts to enable different MOP on different CC for intra-band UL CA is big at least for the following two aspects, but the gain seems still unclear:</w:t>
      </w:r>
    </w:p>
    <w:p w14:paraId="6D93F31D" w14:textId="77777777" w:rsidR="00D9516F" w:rsidRPr="00ED597C" w:rsidRDefault="00D9516F" w:rsidP="00D9516F">
      <w:pPr>
        <w:pStyle w:val="aff6"/>
        <w:numPr>
          <w:ilvl w:val="0"/>
          <w:numId w:val="37"/>
        </w:numPr>
        <w:ind w:firstLineChars="0"/>
        <w:rPr>
          <w:rFonts w:ascii="Times New Roman" w:hAnsi="Times New Roman"/>
          <w:b/>
          <w:i/>
          <w:kern w:val="0"/>
          <w:sz w:val="20"/>
          <w:szCs w:val="20"/>
          <w:lang w:val="en-GB" w:eastAsia="zh-CN"/>
        </w:rPr>
      </w:pPr>
      <w:r w:rsidRPr="00ED597C">
        <w:rPr>
          <w:rFonts w:ascii="Times New Roman" w:hAnsi="Times New Roman"/>
          <w:b/>
          <w:i/>
          <w:kern w:val="0"/>
          <w:sz w:val="20"/>
          <w:szCs w:val="20"/>
          <w:lang w:val="en-GB" w:eastAsia="zh-CN"/>
        </w:rPr>
        <w:lastRenderedPageBreak/>
        <w:t>New MPA/A-MPR requirements would be needed.</w:t>
      </w:r>
    </w:p>
    <w:p w14:paraId="5FE2909A" w14:textId="77777777" w:rsidR="00D9516F" w:rsidRPr="00ED597C" w:rsidRDefault="00D9516F" w:rsidP="00D9516F">
      <w:pPr>
        <w:pStyle w:val="aff6"/>
        <w:numPr>
          <w:ilvl w:val="0"/>
          <w:numId w:val="37"/>
        </w:numPr>
        <w:ind w:firstLineChars="0"/>
        <w:rPr>
          <w:rFonts w:ascii="Times New Roman" w:hAnsi="Times New Roman"/>
          <w:b/>
          <w:i/>
          <w:kern w:val="0"/>
          <w:sz w:val="20"/>
          <w:szCs w:val="20"/>
          <w:lang w:val="en-GB" w:eastAsia="zh-CN"/>
        </w:rPr>
      </w:pPr>
      <w:r w:rsidRPr="00ED597C">
        <w:rPr>
          <w:rFonts w:ascii="Times New Roman" w:hAnsi="Times New Roman"/>
          <w:b/>
          <w:i/>
          <w:kern w:val="0"/>
          <w:sz w:val="20"/>
          <w:szCs w:val="20"/>
          <w:lang w:val="en-GB" w:eastAsia="zh-CN"/>
        </w:rPr>
        <w:t>Power class can only be configured for the band rather than per CC.</w:t>
      </w:r>
    </w:p>
    <w:p w14:paraId="05D10B0C" w14:textId="45BD8299" w:rsidR="00E44C92" w:rsidRDefault="00E44C92" w:rsidP="00331B42">
      <w:pPr>
        <w:jc w:val="both"/>
        <w:rPr>
          <w:b/>
          <w:i/>
        </w:rPr>
      </w:pPr>
    </w:p>
    <w:p w14:paraId="63CB0E9D" w14:textId="1B3C233A" w:rsidR="00331B42" w:rsidRPr="003453EB" w:rsidRDefault="00D9516F" w:rsidP="00331B42">
      <w:pPr>
        <w:jc w:val="both"/>
        <w:rPr>
          <w:b/>
          <w:i/>
        </w:rPr>
      </w:pPr>
      <w:r>
        <w:rPr>
          <w:b/>
          <w:i/>
        </w:rPr>
        <w:t xml:space="preserve">Observation 2: </w:t>
      </w:r>
      <w:r w:rsidRPr="00E57102">
        <w:rPr>
          <w:b/>
          <w:i/>
        </w:rPr>
        <w:t>UL MIMO seems not to be a typical case for coverage enhancement, and what has been done for the Rel-17 WI cannot be simply ex</w:t>
      </w:r>
      <w:r>
        <w:rPr>
          <w:b/>
          <w:i/>
        </w:rPr>
        <w:t>tended to this case.</w:t>
      </w:r>
    </w:p>
    <w:p w14:paraId="1679FDBE" w14:textId="376D3B96" w:rsidR="00331B42" w:rsidRPr="005870EA" w:rsidRDefault="00BC4FC5" w:rsidP="00331B42">
      <w:pPr>
        <w:jc w:val="both"/>
        <w:rPr>
          <w:b/>
          <w:i/>
        </w:rPr>
      </w:pPr>
      <w:r>
        <w:rPr>
          <w:b/>
          <w:i/>
        </w:rPr>
        <w:t xml:space="preserve">Observation 3: Since we already have PC2 </w:t>
      </w:r>
      <w:r w:rsidRPr="005870EA">
        <w:rPr>
          <w:b/>
          <w:i/>
        </w:rPr>
        <w:t xml:space="preserve">(can be realized by e.g. indication of full power transmission mode 2 for the aforementioned type of UE) and PC1.5 (would require advanced PA), the necessity of introducing 27.8dBm </w:t>
      </w:r>
      <w:r w:rsidRPr="00327B5C">
        <w:rPr>
          <w:b/>
          <w:i/>
        </w:rPr>
        <w:t xml:space="preserve">along with any new requirements </w:t>
      </w:r>
      <w:r>
        <w:rPr>
          <w:b/>
          <w:i/>
        </w:rPr>
        <w:t>seems less.</w:t>
      </w:r>
    </w:p>
    <w:p w14:paraId="11FEF534" w14:textId="0829FAF2" w:rsidR="00331B42" w:rsidRDefault="00BC4FC5" w:rsidP="00331B42">
      <w:pPr>
        <w:jc w:val="both"/>
        <w:rPr>
          <w:b/>
          <w:i/>
        </w:rPr>
      </w:pPr>
      <w:r>
        <w:rPr>
          <w:b/>
          <w:i/>
        </w:rPr>
        <w:t xml:space="preserve">Observation 4: The pre-assumption of the current specified </w:t>
      </w:r>
      <w:proofErr w:type="spellStart"/>
      <w:r>
        <w:rPr>
          <w:b/>
          <w:i/>
        </w:rPr>
        <w:t>precoder</w:t>
      </w:r>
      <w:proofErr w:type="spellEnd"/>
      <w:r>
        <w:rPr>
          <w:b/>
          <w:i/>
        </w:rPr>
        <w:t xml:space="preserve"> doesn’t support non-equally power split.</w:t>
      </w:r>
    </w:p>
    <w:p w14:paraId="5DEB4A16" w14:textId="77777777" w:rsidR="00D9516F" w:rsidRDefault="00D9516F" w:rsidP="00D9516F">
      <w:pPr>
        <w:jc w:val="both"/>
        <w:rPr>
          <w:b/>
          <w:i/>
        </w:rPr>
      </w:pPr>
      <w:r>
        <w:rPr>
          <w:b/>
          <w:i/>
        </w:rPr>
        <w:t xml:space="preserve">Proposal 1: Consider inter-band UL CA with PC5 band in this WI if it is based on the operator demands. Because the Rel-17 </w:t>
      </w:r>
      <w:r w:rsidRPr="00ED597C">
        <w:rPr>
          <w:b/>
          <w:i/>
        </w:rPr>
        <w:t>RAN4 work on “Increasing UE power high limit for CA and DC”</w:t>
      </w:r>
      <w:r>
        <w:rPr>
          <w:b/>
          <w:i/>
        </w:rPr>
        <w:t xml:space="preserve"> can be simply extended to this scenario. </w:t>
      </w:r>
    </w:p>
    <w:p w14:paraId="0305259B" w14:textId="77777777" w:rsidR="00D9516F" w:rsidRDefault="00D9516F" w:rsidP="00D9516F">
      <w:pPr>
        <w:jc w:val="both"/>
        <w:rPr>
          <w:lang w:eastAsia="en-US"/>
        </w:rPr>
      </w:pPr>
      <w:r>
        <w:rPr>
          <w:b/>
          <w:i/>
        </w:rPr>
        <w:t>Proposal 2: The intra-band UL CA scenario should not be considered in this WI.</w:t>
      </w:r>
    </w:p>
    <w:p w14:paraId="6E4DEA30" w14:textId="77777777" w:rsidR="00B22DA6" w:rsidRDefault="00B22DA6" w:rsidP="00B22DA6">
      <w:pPr>
        <w:pStyle w:val="1"/>
        <w:numPr>
          <w:ilvl w:val="0"/>
          <w:numId w:val="0"/>
        </w:numPr>
        <w:rPr>
          <w:rFonts w:eastAsia="宋体"/>
          <w:lang w:eastAsia="zh-CN"/>
        </w:rPr>
      </w:pPr>
      <w:r>
        <w:t>References</w:t>
      </w:r>
    </w:p>
    <w:p w14:paraId="3E1E2734" w14:textId="5F6F0AC0" w:rsidR="00B84821" w:rsidRPr="00BE223D" w:rsidRDefault="00BE223D" w:rsidP="00324276">
      <w:pPr>
        <w:numPr>
          <w:ilvl w:val="0"/>
          <w:numId w:val="10"/>
        </w:numPr>
        <w:tabs>
          <w:tab w:val="clear" w:pos="720"/>
          <w:tab w:val="num" w:pos="426"/>
        </w:tabs>
        <w:overflowPunct/>
        <w:autoSpaceDE/>
        <w:autoSpaceDN/>
        <w:adjustRightInd/>
        <w:ind w:left="426" w:hanging="426"/>
        <w:jc w:val="both"/>
        <w:textAlignment w:val="auto"/>
        <w:rPr>
          <w:lang w:val="it-IT" w:eastAsia="ja-JP"/>
        </w:rPr>
      </w:pPr>
      <w:r>
        <w:t>RP</w:t>
      </w:r>
      <w:r w:rsidR="00212750">
        <w:t>-22</w:t>
      </w:r>
      <w:r>
        <w:t>1</w:t>
      </w:r>
      <w:r w:rsidR="00BB4057">
        <w:t>858</w:t>
      </w:r>
      <w:r w:rsidR="00212750">
        <w:t>, “</w:t>
      </w:r>
      <w:r w:rsidR="00BB4057" w:rsidRPr="00BB4057">
        <w:rPr>
          <w:lang w:eastAsia="ja-JP"/>
        </w:rPr>
        <w:t>Revised WID on</w:t>
      </w:r>
      <w:r w:rsidR="00BB4057" w:rsidRPr="00BB4057">
        <w:rPr>
          <w:rFonts w:hint="eastAsia"/>
          <w:lang w:eastAsia="ja-JP"/>
        </w:rPr>
        <w:t xml:space="preserve"> </w:t>
      </w:r>
      <w:r w:rsidR="00BB4057" w:rsidRPr="00BB4057">
        <w:rPr>
          <w:lang w:eastAsia="ja-JP"/>
        </w:rPr>
        <w:t>Further NR coverage enhancements</w:t>
      </w:r>
      <w:r w:rsidR="00212750">
        <w:t xml:space="preserve">”, </w:t>
      </w:r>
      <w:r w:rsidR="00BB4057">
        <w:t>China Telecom,</w:t>
      </w:r>
      <w:r w:rsidR="00212750">
        <w:t xml:space="preserve"> </w:t>
      </w:r>
      <w:r w:rsidR="00212750" w:rsidRPr="000B78E6">
        <w:t>3GPP TSG-RAN Meeting #</w:t>
      </w:r>
      <w:r>
        <w:t>96</w:t>
      </w:r>
      <w:r w:rsidR="00212750">
        <w:t xml:space="preserve">, </w:t>
      </w:r>
      <w:r>
        <w:t>Budapest</w:t>
      </w:r>
      <w:r w:rsidR="00212750">
        <w:rPr>
          <w:lang w:val="it-IT"/>
        </w:rPr>
        <w:t>,</w:t>
      </w:r>
      <w:r>
        <w:rPr>
          <w:lang w:val="it-IT"/>
        </w:rPr>
        <w:t xml:space="preserve"> Hungary,</w:t>
      </w:r>
      <w:r w:rsidR="00212750">
        <w:t xml:space="preserve"> </w:t>
      </w:r>
      <w:r>
        <w:t>June</w:t>
      </w:r>
      <w:r w:rsidR="008F51D3">
        <w:t xml:space="preserve"> </w:t>
      </w:r>
      <w:r>
        <w:t>6</w:t>
      </w:r>
      <w:r w:rsidR="008F51D3">
        <w:t xml:space="preserve"> – </w:t>
      </w:r>
      <w:r>
        <w:t>9</w:t>
      </w:r>
      <w:r w:rsidR="008F51D3">
        <w:t>,</w:t>
      </w:r>
      <w:r w:rsidR="00212750" w:rsidRPr="003F67FF">
        <w:t xml:space="preserve"> 2022</w:t>
      </w:r>
      <w:r w:rsidR="00BB41AF">
        <w:t>.</w:t>
      </w:r>
    </w:p>
    <w:p w14:paraId="3012C609" w14:textId="66119CF7" w:rsidR="00AD4268" w:rsidRPr="00506193" w:rsidRDefault="00EB0381" w:rsidP="00480DE7">
      <w:pPr>
        <w:numPr>
          <w:ilvl w:val="0"/>
          <w:numId w:val="10"/>
        </w:numPr>
        <w:tabs>
          <w:tab w:val="clear" w:pos="720"/>
          <w:tab w:val="num" w:pos="426"/>
        </w:tabs>
        <w:overflowPunct/>
        <w:autoSpaceDE/>
        <w:autoSpaceDN/>
        <w:adjustRightInd/>
        <w:ind w:left="426" w:hanging="426"/>
        <w:jc w:val="both"/>
        <w:textAlignment w:val="auto"/>
        <w:rPr>
          <w:lang w:val="it-IT" w:eastAsia="ja-JP"/>
        </w:rPr>
      </w:pPr>
      <w:r>
        <w:t>R4-221</w:t>
      </w:r>
      <w:r w:rsidR="00506193">
        <w:t>7793</w:t>
      </w:r>
      <w:r>
        <w:t>, “</w:t>
      </w:r>
      <w:r w:rsidR="00506193" w:rsidRPr="00506193">
        <w:rPr>
          <w:rFonts w:hint="eastAsia"/>
        </w:rPr>
        <w:t xml:space="preserve">Email discussion summary for </w:t>
      </w:r>
      <w:r w:rsidR="00506193" w:rsidRPr="00506193">
        <w:t>[104bis-e</w:t>
      </w:r>
      <w:proofErr w:type="gramStart"/>
      <w:r w:rsidR="00506193" w:rsidRPr="00506193">
        <w:t>][</w:t>
      </w:r>
      <w:proofErr w:type="gramEnd"/>
      <w:r w:rsidR="00506193" w:rsidRPr="00506193">
        <w:t>141] NR_cov_enh2_</w:t>
      </w:r>
      <w:r w:rsidR="000153B2">
        <w:t>part1</w:t>
      </w:r>
      <w:r>
        <w:t xml:space="preserve">”, </w:t>
      </w:r>
      <w:r w:rsidR="000153B2">
        <w:t>Moderator</w:t>
      </w:r>
      <w:r w:rsidR="00506193">
        <w:t>(Huawei</w:t>
      </w:r>
      <w:r w:rsidR="000F487D">
        <w:t xml:space="preserve">, </w:t>
      </w:r>
      <w:proofErr w:type="spellStart"/>
      <w:r w:rsidR="000F487D">
        <w:t>HiSilicon</w:t>
      </w:r>
      <w:proofErr w:type="spellEnd"/>
      <w:r w:rsidR="00506193">
        <w:t xml:space="preserve">), </w:t>
      </w:r>
      <w:r w:rsidRPr="000B78E6">
        <w:t>3GPP TSG-RAN</w:t>
      </w:r>
      <w:r>
        <w:t>4</w:t>
      </w:r>
      <w:r w:rsidRPr="000B78E6">
        <w:t xml:space="preserve"> Meeting #</w:t>
      </w:r>
      <w:r>
        <w:t>10</w:t>
      </w:r>
      <w:r w:rsidR="00506193">
        <w:t>4bis</w:t>
      </w:r>
      <w:r>
        <w:t>-e, Electronic Meeting</w:t>
      </w:r>
      <w:r>
        <w:rPr>
          <w:lang w:val="it-IT"/>
        </w:rPr>
        <w:t>,</w:t>
      </w:r>
      <w:r>
        <w:t xml:space="preserve"> </w:t>
      </w:r>
      <w:r w:rsidR="00506193">
        <w:t>October</w:t>
      </w:r>
      <w:r>
        <w:t xml:space="preserve"> </w:t>
      </w:r>
      <w:r w:rsidR="00506193">
        <w:t>10</w:t>
      </w:r>
      <w:r>
        <w:t xml:space="preserve"> – </w:t>
      </w:r>
      <w:r w:rsidR="00506193">
        <w:t>19</w:t>
      </w:r>
      <w:r>
        <w:t>,</w:t>
      </w:r>
      <w:r w:rsidRPr="003F67FF">
        <w:t xml:space="preserve"> 2022</w:t>
      </w:r>
      <w:r>
        <w:t>.</w:t>
      </w:r>
    </w:p>
    <w:p w14:paraId="765A1613" w14:textId="43DA3E4E" w:rsidR="00420033" w:rsidRPr="00D5798C" w:rsidRDefault="000F487D" w:rsidP="00D5798C">
      <w:pPr>
        <w:numPr>
          <w:ilvl w:val="0"/>
          <w:numId w:val="10"/>
        </w:numPr>
        <w:tabs>
          <w:tab w:val="clear" w:pos="720"/>
          <w:tab w:val="num" w:pos="426"/>
        </w:tabs>
        <w:overflowPunct/>
        <w:autoSpaceDE/>
        <w:autoSpaceDN/>
        <w:adjustRightInd/>
        <w:ind w:left="426" w:hanging="426"/>
        <w:jc w:val="both"/>
        <w:textAlignment w:val="auto"/>
        <w:rPr>
          <w:lang w:val="it-IT" w:eastAsia="ja-JP"/>
        </w:rPr>
      </w:pPr>
      <w:r>
        <w:t>R4-2217744, “</w:t>
      </w:r>
      <w:r w:rsidRPr="000F487D">
        <w:t>WF on enhancements of increasing UE power high limit</w:t>
      </w:r>
      <w:r>
        <w:t xml:space="preserve">”, Huawei, </w:t>
      </w:r>
      <w:proofErr w:type="spellStart"/>
      <w:r>
        <w:t>HiSilicon</w:t>
      </w:r>
      <w:proofErr w:type="spellEnd"/>
      <w:r>
        <w:t>,</w:t>
      </w:r>
      <w:r w:rsidRPr="000F487D">
        <w:t xml:space="preserve"> </w:t>
      </w:r>
      <w:r w:rsidRPr="000B78E6">
        <w:t>3GPP TSG-RAN</w:t>
      </w:r>
      <w:r>
        <w:t>4</w:t>
      </w:r>
      <w:r w:rsidRPr="000B78E6">
        <w:t xml:space="preserve"> Meeting #</w:t>
      </w:r>
      <w:r>
        <w:t>104bis-e, Electronic Meeting</w:t>
      </w:r>
      <w:r>
        <w:rPr>
          <w:lang w:val="it-IT"/>
        </w:rPr>
        <w:t>,</w:t>
      </w:r>
      <w:r>
        <w:t xml:space="preserve"> October 10 – 19,</w:t>
      </w:r>
      <w:r w:rsidRPr="003F67FF">
        <w:t xml:space="preserve"> 2022</w:t>
      </w:r>
      <w:r>
        <w:t>.</w:t>
      </w:r>
    </w:p>
    <w:sectPr w:rsidR="00420033" w:rsidRPr="00D5798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5A64C" w14:textId="77777777" w:rsidR="00B872D1" w:rsidRDefault="00B872D1" w:rsidP="0052762B">
      <w:r>
        <w:separator/>
      </w:r>
    </w:p>
  </w:endnote>
  <w:endnote w:type="continuationSeparator" w:id="0">
    <w:p w14:paraId="43287067" w14:textId="77777777" w:rsidR="00B872D1" w:rsidRDefault="00B872D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5130A" w14:textId="77777777" w:rsidR="00B872D1" w:rsidRDefault="00B872D1" w:rsidP="0052762B">
      <w:r>
        <w:separator/>
      </w:r>
    </w:p>
  </w:footnote>
  <w:footnote w:type="continuationSeparator" w:id="0">
    <w:p w14:paraId="15179C3D" w14:textId="77777777" w:rsidR="00B872D1" w:rsidRDefault="00B872D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46F"/>
    <w:multiLevelType w:val="hybridMultilevel"/>
    <w:tmpl w:val="7522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E8F24E7"/>
    <w:multiLevelType w:val="multilevel"/>
    <w:tmpl w:val="3078CAB0"/>
    <w:lvl w:ilvl="0">
      <w:numFmt w:val="bullet"/>
      <w:lvlText w:val="-"/>
      <w:lvlJc w:val="left"/>
      <w:pPr>
        <w:ind w:left="440" w:hanging="420"/>
      </w:pPr>
      <w:rPr>
        <w:rFonts w:ascii="Times New Roman" w:eastAsia="Times New Roman" w:hAnsi="Times New Roman" w:cs="Times New Roman" w:hint="default"/>
      </w:rPr>
    </w:lvl>
    <w:lvl w:ilvl="1">
      <w:start w:val="1"/>
      <w:numFmt w:val="bullet"/>
      <w:lvlText w:val="o"/>
      <w:lvlJc w:val="left"/>
      <w:pPr>
        <w:ind w:left="860" w:hanging="420"/>
      </w:pPr>
      <w:rPr>
        <w:rFonts w:ascii="Courier New" w:hAnsi="Courier New" w:cs="Courier New"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6" w15:restartNumberingAfterBreak="0">
    <w:nsid w:val="136240D9"/>
    <w:multiLevelType w:val="hybridMultilevel"/>
    <w:tmpl w:val="20A4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B64CBB"/>
    <w:multiLevelType w:val="hybridMultilevel"/>
    <w:tmpl w:val="A344D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B60396"/>
    <w:multiLevelType w:val="hybridMultilevel"/>
    <w:tmpl w:val="81C6E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01B5CC3"/>
    <w:multiLevelType w:val="hybridMultilevel"/>
    <w:tmpl w:val="3A147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2A61DE"/>
    <w:multiLevelType w:val="hybridMultilevel"/>
    <w:tmpl w:val="9C7CC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DB694C"/>
    <w:multiLevelType w:val="hybridMultilevel"/>
    <w:tmpl w:val="927AEC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CC0BD0"/>
    <w:multiLevelType w:val="hybridMultilevel"/>
    <w:tmpl w:val="4F88A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30" w15:restartNumberingAfterBreak="0">
    <w:nsid w:val="6B002B58"/>
    <w:multiLevelType w:val="hybridMultilevel"/>
    <w:tmpl w:val="C29C8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660A18"/>
    <w:multiLevelType w:val="multilevel"/>
    <w:tmpl w:val="76660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8"/>
  </w:num>
  <w:num w:numId="4">
    <w:abstractNumId w:val="32"/>
  </w:num>
  <w:num w:numId="5">
    <w:abstractNumId w:val="31"/>
  </w:num>
  <w:num w:numId="6">
    <w:abstractNumId w:val="13"/>
  </w:num>
  <w:num w:numId="7">
    <w:abstractNumId w:val="22"/>
  </w:num>
  <w:num w:numId="8">
    <w:abstractNumId w:val="36"/>
  </w:num>
  <w:num w:numId="9">
    <w:abstractNumId w:val="10"/>
  </w:num>
  <w:num w:numId="10">
    <w:abstractNumId w:val="3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5"/>
  </w:num>
  <w:num w:numId="14">
    <w:abstractNumId w:val="24"/>
  </w:num>
  <w:num w:numId="15">
    <w:abstractNumId w:val="2"/>
  </w:num>
  <w:num w:numId="16">
    <w:abstractNumId w:val="16"/>
  </w:num>
  <w:num w:numId="17">
    <w:abstractNumId w:val="11"/>
  </w:num>
  <w:num w:numId="18">
    <w:abstractNumId w:val="3"/>
  </w:num>
  <w:num w:numId="19">
    <w:abstractNumId w:val="1"/>
  </w:num>
  <w:num w:numId="20">
    <w:abstractNumId w:val="9"/>
  </w:num>
  <w:num w:numId="21">
    <w:abstractNumId w:val="33"/>
  </w:num>
  <w:num w:numId="22">
    <w:abstractNumId w:val="29"/>
  </w:num>
  <w:num w:numId="23">
    <w:abstractNumId w:val="8"/>
  </w:num>
  <w:num w:numId="24">
    <w:abstractNumId w:val="17"/>
  </w:num>
  <w:num w:numId="25">
    <w:abstractNumId w:val="28"/>
  </w:num>
  <w:num w:numId="26">
    <w:abstractNumId w:val="5"/>
  </w:num>
  <w:num w:numId="27">
    <w:abstractNumId w:val="4"/>
  </w:num>
  <w:num w:numId="28">
    <w:abstractNumId w:val="30"/>
  </w:num>
  <w:num w:numId="29">
    <w:abstractNumId w:val="27"/>
  </w:num>
  <w:num w:numId="30">
    <w:abstractNumId w:val="0"/>
  </w:num>
  <w:num w:numId="31">
    <w:abstractNumId w:val="12"/>
  </w:num>
  <w:num w:numId="32">
    <w:abstractNumId w:val="26"/>
  </w:num>
  <w:num w:numId="33">
    <w:abstractNumId w:val="23"/>
  </w:num>
  <w:num w:numId="34">
    <w:abstractNumId w:val="25"/>
  </w:num>
  <w:num w:numId="35">
    <w:abstractNumId w:val="35"/>
  </w:num>
  <w:num w:numId="36">
    <w:abstractNumId w:val="6"/>
  </w:num>
  <w:num w:numId="37">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3B2"/>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7162"/>
    <w:rsid w:val="0003726B"/>
    <w:rsid w:val="000402AB"/>
    <w:rsid w:val="00040B71"/>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55A"/>
    <w:rsid w:val="0005366B"/>
    <w:rsid w:val="000537B3"/>
    <w:rsid w:val="00053B10"/>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3C2"/>
    <w:rsid w:val="0008183E"/>
    <w:rsid w:val="00081D13"/>
    <w:rsid w:val="00082230"/>
    <w:rsid w:val="0008266E"/>
    <w:rsid w:val="000826DC"/>
    <w:rsid w:val="0008285B"/>
    <w:rsid w:val="000834ED"/>
    <w:rsid w:val="00083E1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73D6"/>
    <w:rsid w:val="000B770A"/>
    <w:rsid w:val="000C00A2"/>
    <w:rsid w:val="000C0153"/>
    <w:rsid w:val="000C0293"/>
    <w:rsid w:val="000C0A4B"/>
    <w:rsid w:val="000C18F9"/>
    <w:rsid w:val="000C2877"/>
    <w:rsid w:val="000C28E8"/>
    <w:rsid w:val="000C2EF7"/>
    <w:rsid w:val="000C322C"/>
    <w:rsid w:val="000C3874"/>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181"/>
    <w:rsid w:val="000D58BA"/>
    <w:rsid w:val="000D59BD"/>
    <w:rsid w:val="000D60F8"/>
    <w:rsid w:val="000D6118"/>
    <w:rsid w:val="000D651E"/>
    <w:rsid w:val="000D662B"/>
    <w:rsid w:val="000D765D"/>
    <w:rsid w:val="000D7E31"/>
    <w:rsid w:val="000E04A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87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71F"/>
    <w:rsid w:val="00103B63"/>
    <w:rsid w:val="00103C9E"/>
    <w:rsid w:val="00103ECD"/>
    <w:rsid w:val="00104585"/>
    <w:rsid w:val="00104A73"/>
    <w:rsid w:val="001051FC"/>
    <w:rsid w:val="0010552D"/>
    <w:rsid w:val="001059E2"/>
    <w:rsid w:val="00105D85"/>
    <w:rsid w:val="00105FAF"/>
    <w:rsid w:val="0010684E"/>
    <w:rsid w:val="001068E4"/>
    <w:rsid w:val="00106902"/>
    <w:rsid w:val="00106A89"/>
    <w:rsid w:val="001076AC"/>
    <w:rsid w:val="00107A6A"/>
    <w:rsid w:val="00111828"/>
    <w:rsid w:val="00112551"/>
    <w:rsid w:val="0011274D"/>
    <w:rsid w:val="0011282B"/>
    <w:rsid w:val="00112969"/>
    <w:rsid w:val="0011297B"/>
    <w:rsid w:val="00112D66"/>
    <w:rsid w:val="00112DDC"/>
    <w:rsid w:val="00114108"/>
    <w:rsid w:val="001145CD"/>
    <w:rsid w:val="00114764"/>
    <w:rsid w:val="00115AEF"/>
    <w:rsid w:val="00116080"/>
    <w:rsid w:val="00116445"/>
    <w:rsid w:val="00116DF7"/>
    <w:rsid w:val="00116EFE"/>
    <w:rsid w:val="001171C1"/>
    <w:rsid w:val="00117964"/>
    <w:rsid w:val="00120BBB"/>
    <w:rsid w:val="0012120A"/>
    <w:rsid w:val="00123086"/>
    <w:rsid w:val="001230AC"/>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57F"/>
    <w:rsid w:val="001779C0"/>
    <w:rsid w:val="00177C30"/>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1DA1"/>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90C"/>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663F"/>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7E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4EB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9"/>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276"/>
    <w:rsid w:val="00324355"/>
    <w:rsid w:val="00324C8F"/>
    <w:rsid w:val="00324EF3"/>
    <w:rsid w:val="003250DA"/>
    <w:rsid w:val="0032538B"/>
    <w:rsid w:val="00325D02"/>
    <w:rsid w:val="00325FB1"/>
    <w:rsid w:val="003262D8"/>
    <w:rsid w:val="00326780"/>
    <w:rsid w:val="0032716F"/>
    <w:rsid w:val="00327258"/>
    <w:rsid w:val="00327B5C"/>
    <w:rsid w:val="00331251"/>
    <w:rsid w:val="0033133D"/>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53EB"/>
    <w:rsid w:val="00345721"/>
    <w:rsid w:val="00345BD2"/>
    <w:rsid w:val="00345E5B"/>
    <w:rsid w:val="0034618E"/>
    <w:rsid w:val="003465C1"/>
    <w:rsid w:val="0034692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07"/>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D7D69"/>
    <w:rsid w:val="003E01AA"/>
    <w:rsid w:val="003E0386"/>
    <w:rsid w:val="003E0880"/>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D08"/>
    <w:rsid w:val="0040416A"/>
    <w:rsid w:val="00405597"/>
    <w:rsid w:val="004061CC"/>
    <w:rsid w:val="00406346"/>
    <w:rsid w:val="004065E5"/>
    <w:rsid w:val="00406A7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CA5"/>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B8A"/>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FC2"/>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0DE7"/>
    <w:rsid w:val="004819D9"/>
    <w:rsid w:val="00482DD9"/>
    <w:rsid w:val="004835A3"/>
    <w:rsid w:val="004837D1"/>
    <w:rsid w:val="00483943"/>
    <w:rsid w:val="00485764"/>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D04"/>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833"/>
    <w:rsid w:val="004B5067"/>
    <w:rsid w:val="004B5218"/>
    <w:rsid w:val="004B5CEE"/>
    <w:rsid w:val="004B5E9B"/>
    <w:rsid w:val="004B627C"/>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706F"/>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4A"/>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E87"/>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0D25"/>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0EA"/>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6EA2"/>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1A7"/>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B50"/>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7F2"/>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A0C"/>
    <w:rsid w:val="0060245E"/>
    <w:rsid w:val="006034A7"/>
    <w:rsid w:val="00604275"/>
    <w:rsid w:val="006045AC"/>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09A"/>
    <w:rsid w:val="00626C0D"/>
    <w:rsid w:val="00627034"/>
    <w:rsid w:val="00627189"/>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547"/>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91F"/>
    <w:rsid w:val="006772B6"/>
    <w:rsid w:val="00677371"/>
    <w:rsid w:val="0067751B"/>
    <w:rsid w:val="00680B4A"/>
    <w:rsid w:val="00681722"/>
    <w:rsid w:val="0068176D"/>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61B"/>
    <w:rsid w:val="006977CC"/>
    <w:rsid w:val="006A0455"/>
    <w:rsid w:val="006A0685"/>
    <w:rsid w:val="006A0CB5"/>
    <w:rsid w:val="006A0D71"/>
    <w:rsid w:val="006A15DE"/>
    <w:rsid w:val="006A1830"/>
    <w:rsid w:val="006A3056"/>
    <w:rsid w:val="006A35BD"/>
    <w:rsid w:val="006A369C"/>
    <w:rsid w:val="006A3874"/>
    <w:rsid w:val="006A395C"/>
    <w:rsid w:val="006A3E88"/>
    <w:rsid w:val="006A46A7"/>
    <w:rsid w:val="006A4A4E"/>
    <w:rsid w:val="006A4B54"/>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4E1"/>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6D"/>
    <w:rsid w:val="00736D52"/>
    <w:rsid w:val="00736DF6"/>
    <w:rsid w:val="007372D5"/>
    <w:rsid w:val="007372FB"/>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C87"/>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77F46"/>
    <w:rsid w:val="00780611"/>
    <w:rsid w:val="007810AF"/>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010"/>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06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51AC"/>
    <w:rsid w:val="008C57A9"/>
    <w:rsid w:val="008C6315"/>
    <w:rsid w:val="008C7CC9"/>
    <w:rsid w:val="008D0797"/>
    <w:rsid w:val="008D0A2C"/>
    <w:rsid w:val="008D0BAD"/>
    <w:rsid w:val="008D0F24"/>
    <w:rsid w:val="008D169B"/>
    <w:rsid w:val="008D233A"/>
    <w:rsid w:val="008D29C0"/>
    <w:rsid w:val="008D436F"/>
    <w:rsid w:val="008D4FDA"/>
    <w:rsid w:val="008D7410"/>
    <w:rsid w:val="008D745A"/>
    <w:rsid w:val="008E01E5"/>
    <w:rsid w:val="008E05C3"/>
    <w:rsid w:val="008E07B3"/>
    <w:rsid w:val="008E0FDA"/>
    <w:rsid w:val="008E18F2"/>
    <w:rsid w:val="008E1B4C"/>
    <w:rsid w:val="008E25D0"/>
    <w:rsid w:val="008E25EB"/>
    <w:rsid w:val="008E2633"/>
    <w:rsid w:val="008E266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9B6"/>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435"/>
    <w:rsid w:val="00906E43"/>
    <w:rsid w:val="00910330"/>
    <w:rsid w:val="00910625"/>
    <w:rsid w:val="00910695"/>
    <w:rsid w:val="0091110C"/>
    <w:rsid w:val="009112E8"/>
    <w:rsid w:val="00911A11"/>
    <w:rsid w:val="00911C40"/>
    <w:rsid w:val="00912169"/>
    <w:rsid w:val="00912307"/>
    <w:rsid w:val="00912326"/>
    <w:rsid w:val="00912968"/>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DF"/>
    <w:rsid w:val="009427EC"/>
    <w:rsid w:val="009435E6"/>
    <w:rsid w:val="00943620"/>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282B"/>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FBB"/>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BE7"/>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A23"/>
    <w:rsid w:val="009D419F"/>
    <w:rsid w:val="009D4F0C"/>
    <w:rsid w:val="009D530B"/>
    <w:rsid w:val="009D54A1"/>
    <w:rsid w:val="009D5855"/>
    <w:rsid w:val="009D58F3"/>
    <w:rsid w:val="009D61BE"/>
    <w:rsid w:val="009D6CBA"/>
    <w:rsid w:val="009D6EB2"/>
    <w:rsid w:val="009D7747"/>
    <w:rsid w:val="009D79DA"/>
    <w:rsid w:val="009E07C4"/>
    <w:rsid w:val="009E123E"/>
    <w:rsid w:val="009E12F0"/>
    <w:rsid w:val="009E1400"/>
    <w:rsid w:val="009E15AF"/>
    <w:rsid w:val="009E32C6"/>
    <w:rsid w:val="009E3904"/>
    <w:rsid w:val="009E3C96"/>
    <w:rsid w:val="009E3F03"/>
    <w:rsid w:val="009E4618"/>
    <w:rsid w:val="009E47B1"/>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72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80C"/>
    <w:rsid w:val="00A75AF6"/>
    <w:rsid w:val="00A76083"/>
    <w:rsid w:val="00A764DD"/>
    <w:rsid w:val="00A7682D"/>
    <w:rsid w:val="00A7688F"/>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899"/>
    <w:rsid w:val="00AA6BE8"/>
    <w:rsid w:val="00AA6D97"/>
    <w:rsid w:val="00AA763C"/>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1DE"/>
    <w:rsid w:val="00AF3297"/>
    <w:rsid w:val="00AF3579"/>
    <w:rsid w:val="00AF4E45"/>
    <w:rsid w:val="00AF4FB6"/>
    <w:rsid w:val="00AF5B11"/>
    <w:rsid w:val="00AF5DAA"/>
    <w:rsid w:val="00AF68C6"/>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6B6"/>
    <w:rsid w:val="00B377DD"/>
    <w:rsid w:val="00B37F54"/>
    <w:rsid w:val="00B4094F"/>
    <w:rsid w:val="00B409FB"/>
    <w:rsid w:val="00B41B72"/>
    <w:rsid w:val="00B4257B"/>
    <w:rsid w:val="00B42FE2"/>
    <w:rsid w:val="00B43111"/>
    <w:rsid w:val="00B43516"/>
    <w:rsid w:val="00B43EC2"/>
    <w:rsid w:val="00B444DF"/>
    <w:rsid w:val="00B4459E"/>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6F09"/>
    <w:rsid w:val="00B76FBB"/>
    <w:rsid w:val="00B777FC"/>
    <w:rsid w:val="00B77BF7"/>
    <w:rsid w:val="00B77ECC"/>
    <w:rsid w:val="00B80711"/>
    <w:rsid w:val="00B814EE"/>
    <w:rsid w:val="00B81941"/>
    <w:rsid w:val="00B82295"/>
    <w:rsid w:val="00B82750"/>
    <w:rsid w:val="00B82FA8"/>
    <w:rsid w:val="00B83694"/>
    <w:rsid w:val="00B83D94"/>
    <w:rsid w:val="00B83D9C"/>
    <w:rsid w:val="00B83EAB"/>
    <w:rsid w:val="00B83FF6"/>
    <w:rsid w:val="00B84179"/>
    <w:rsid w:val="00B84388"/>
    <w:rsid w:val="00B845D3"/>
    <w:rsid w:val="00B845E6"/>
    <w:rsid w:val="00B84821"/>
    <w:rsid w:val="00B849E7"/>
    <w:rsid w:val="00B857FF"/>
    <w:rsid w:val="00B85807"/>
    <w:rsid w:val="00B861D9"/>
    <w:rsid w:val="00B86589"/>
    <w:rsid w:val="00B86F27"/>
    <w:rsid w:val="00B872D1"/>
    <w:rsid w:val="00B87AD4"/>
    <w:rsid w:val="00B87F30"/>
    <w:rsid w:val="00B90000"/>
    <w:rsid w:val="00B90C64"/>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931"/>
    <w:rsid w:val="00BB1F6B"/>
    <w:rsid w:val="00BB2161"/>
    <w:rsid w:val="00BB2554"/>
    <w:rsid w:val="00BB2557"/>
    <w:rsid w:val="00BB2BBB"/>
    <w:rsid w:val="00BB3734"/>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5F2"/>
    <w:rsid w:val="00BC4C1F"/>
    <w:rsid w:val="00BC4EAF"/>
    <w:rsid w:val="00BC4FC5"/>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BD"/>
    <w:rsid w:val="00BD51DD"/>
    <w:rsid w:val="00BD556D"/>
    <w:rsid w:val="00BD5790"/>
    <w:rsid w:val="00BD59BE"/>
    <w:rsid w:val="00BD5ECA"/>
    <w:rsid w:val="00BD7070"/>
    <w:rsid w:val="00BD7480"/>
    <w:rsid w:val="00BD7495"/>
    <w:rsid w:val="00BD7A85"/>
    <w:rsid w:val="00BE04C7"/>
    <w:rsid w:val="00BE0779"/>
    <w:rsid w:val="00BE0896"/>
    <w:rsid w:val="00BE19EA"/>
    <w:rsid w:val="00BE1AFD"/>
    <w:rsid w:val="00BE20EF"/>
    <w:rsid w:val="00BE223D"/>
    <w:rsid w:val="00BE238A"/>
    <w:rsid w:val="00BE277C"/>
    <w:rsid w:val="00BE354A"/>
    <w:rsid w:val="00BE3778"/>
    <w:rsid w:val="00BE38EA"/>
    <w:rsid w:val="00BE476F"/>
    <w:rsid w:val="00BE5190"/>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4CA"/>
    <w:rsid w:val="00C058F0"/>
    <w:rsid w:val="00C05B24"/>
    <w:rsid w:val="00C05F0D"/>
    <w:rsid w:val="00C06B70"/>
    <w:rsid w:val="00C06DF4"/>
    <w:rsid w:val="00C07A01"/>
    <w:rsid w:val="00C07A1B"/>
    <w:rsid w:val="00C103A5"/>
    <w:rsid w:val="00C106F5"/>
    <w:rsid w:val="00C10BB2"/>
    <w:rsid w:val="00C10E9B"/>
    <w:rsid w:val="00C11133"/>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8D9"/>
    <w:rsid w:val="00C35942"/>
    <w:rsid w:val="00C35AC5"/>
    <w:rsid w:val="00C36E28"/>
    <w:rsid w:val="00C379A7"/>
    <w:rsid w:val="00C37F40"/>
    <w:rsid w:val="00C407E0"/>
    <w:rsid w:val="00C40CE0"/>
    <w:rsid w:val="00C40EC4"/>
    <w:rsid w:val="00C418EF"/>
    <w:rsid w:val="00C4199E"/>
    <w:rsid w:val="00C419E8"/>
    <w:rsid w:val="00C41D95"/>
    <w:rsid w:val="00C4207E"/>
    <w:rsid w:val="00C4283F"/>
    <w:rsid w:val="00C42BAE"/>
    <w:rsid w:val="00C42FD8"/>
    <w:rsid w:val="00C437F1"/>
    <w:rsid w:val="00C43D1B"/>
    <w:rsid w:val="00C44D3D"/>
    <w:rsid w:val="00C45A95"/>
    <w:rsid w:val="00C46D24"/>
    <w:rsid w:val="00C47ABA"/>
    <w:rsid w:val="00C5016D"/>
    <w:rsid w:val="00C50B47"/>
    <w:rsid w:val="00C50D30"/>
    <w:rsid w:val="00C514ED"/>
    <w:rsid w:val="00C51773"/>
    <w:rsid w:val="00C520C5"/>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41B"/>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BF"/>
    <w:rsid w:val="00C918DD"/>
    <w:rsid w:val="00C91DB5"/>
    <w:rsid w:val="00C9216E"/>
    <w:rsid w:val="00C94BF2"/>
    <w:rsid w:val="00C950EA"/>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ABF"/>
    <w:rsid w:val="00CA73EE"/>
    <w:rsid w:val="00CA77A1"/>
    <w:rsid w:val="00CA7927"/>
    <w:rsid w:val="00CA7A66"/>
    <w:rsid w:val="00CB0608"/>
    <w:rsid w:val="00CB0B33"/>
    <w:rsid w:val="00CB0E08"/>
    <w:rsid w:val="00CB116F"/>
    <w:rsid w:val="00CB1342"/>
    <w:rsid w:val="00CB1902"/>
    <w:rsid w:val="00CB1F9F"/>
    <w:rsid w:val="00CB2685"/>
    <w:rsid w:val="00CB2AAC"/>
    <w:rsid w:val="00CB2CD3"/>
    <w:rsid w:val="00CB30B8"/>
    <w:rsid w:val="00CB40A5"/>
    <w:rsid w:val="00CB474E"/>
    <w:rsid w:val="00CB5115"/>
    <w:rsid w:val="00CB5137"/>
    <w:rsid w:val="00CB5217"/>
    <w:rsid w:val="00CB6752"/>
    <w:rsid w:val="00CB702A"/>
    <w:rsid w:val="00CB7D59"/>
    <w:rsid w:val="00CB7E23"/>
    <w:rsid w:val="00CC024D"/>
    <w:rsid w:val="00CC0659"/>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64D"/>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F1A"/>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D57"/>
    <w:rsid w:val="00D15E8C"/>
    <w:rsid w:val="00D16CEB"/>
    <w:rsid w:val="00D176E9"/>
    <w:rsid w:val="00D17D95"/>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A88"/>
    <w:rsid w:val="00D44FCE"/>
    <w:rsid w:val="00D461CD"/>
    <w:rsid w:val="00D46F0A"/>
    <w:rsid w:val="00D4726C"/>
    <w:rsid w:val="00D47570"/>
    <w:rsid w:val="00D47671"/>
    <w:rsid w:val="00D47AE2"/>
    <w:rsid w:val="00D50995"/>
    <w:rsid w:val="00D50E2A"/>
    <w:rsid w:val="00D50FB8"/>
    <w:rsid w:val="00D51743"/>
    <w:rsid w:val="00D51DBD"/>
    <w:rsid w:val="00D52300"/>
    <w:rsid w:val="00D53DED"/>
    <w:rsid w:val="00D5433E"/>
    <w:rsid w:val="00D54963"/>
    <w:rsid w:val="00D5549A"/>
    <w:rsid w:val="00D55BF6"/>
    <w:rsid w:val="00D55C6C"/>
    <w:rsid w:val="00D5603F"/>
    <w:rsid w:val="00D561E7"/>
    <w:rsid w:val="00D56E57"/>
    <w:rsid w:val="00D570C2"/>
    <w:rsid w:val="00D573A6"/>
    <w:rsid w:val="00D5798C"/>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8"/>
    <w:rsid w:val="00D86C34"/>
    <w:rsid w:val="00D86C6C"/>
    <w:rsid w:val="00D9370A"/>
    <w:rsid w:val="00D9496A"/>
    <w:rsid w:val="00D94BAE"/>
    <w:rsid w:val="00D9516F"/>
    <w:rsid w:val="00D9519B"/>
    <w:rsid w:val="00D95A78"/>
    <w:rsid w:val="00D95F3A"/>
    <w:rsid w:val="00D96176"/>
    <w:rsid w:val="00D96187"/>
    <w:rsid w:val="00D96408"/>
    <w:rsid w:val="00D967AC"/>
    <w:rsid w:val="00D96828"/>
    <w:rsid w:val="00DA01F3"/>
    <w:rsid w:val="00DA0EEC"/>
    <w:rsid w:val="00DA127A"/>
    <w:rsid w:val="00DA18C9"/>
    <w:rsid w:val="00DA191A"/>
    <w:rsid w:val="00DA1C91"/>
    <w:rsid w:val="00DA29C8"/>
    <w:rsid w:val="00DA2ACA"/>
    <w:rsid w:val="00DA3646"/>
    <w:rsid w:val="00DA3843"/>
    <w:rsid w:val="00DA3CB6"/>
    <w:rsid w:val="00DA3FCB"/>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A75"/>
    <w:rsid w:val="00DC3B67"/>
    <w:rsid w:val="00DC3BFF"/>
    <w:rsid w:val="00DC3E10"/>
    <w:rsid w:val="00DC4256"/>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95D"/>
    <w:rsid w:val="00E01D6D"/>
    <w:rsid w:val="00E02B3D"/>
    <w:rsid w:val="00E02C24"/>
    <w:rsid w:val="00E0320D"/>
    <w:rsid w:val="00E0364D"/>
    <w:rsid w:val="00E03A4E"/>
    <w:rsid w:val="00E0464B"/>
    <w:rsid w:val="00E04DB1"/>
    <w:rsid w:val="00E050B5"/>
    <w:rsid w:val="00E05E95"/>
    <w:rsid w:val="00E07C0A"/>
    <w:rsid w:val="00E07F41"/>
    <w:rsid w:val="00E10D65"/>
    <w:rsid w:val="00E11A21"/>
    <w:rsid w:val="00E12243"/>
    <w:rsid w:val="00E1246D"/>
    <w:rsid w:val="00E128A8"/>
    <w:rsid w:val="00E13657"/>
    <w:rsid w:val="00E147B3"/>
    <w:rsid w:val="00E14BE8"/>
    <w:rsid w:val="00E157DE"/>
    <w:rsid w:val="00E1596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4C92"/>
    <w:rsid w:val="00E450BC"/>
    <w:rsid w:val="00E464E8"/>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102"/>
    <w:rsid w:val="00E57BC5"/>
    <w:rsid w:val="00E60463"/>
    <w:rsid w:val="00E608C2"/>
    <w:rsid w:val="00E609A1"/>
    <w:rsid w:val="00E6162D"/>
    <w:rsid w:val="00E61EDA"/>
    <w:rsid w:val="00E62982"/>
    <w:rsid w:val="00E62DA6"/>
    <w:rsid w:val="00E62F7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1C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418"/>
    <w:rsid w:val="00EA7CCB"/>
    <w:rsid w:val="00EB0381"/>
    <w:rsid w:val="00EB0684"/>
    <w:rsid w:val="00EB074F"/>
    <w:rsid w:val="00EB0F30"/>
    <w:rsid w:val="00EB1248"/>
    <w:rsid w:val="00EB1BDB"/>
    <w:rsid w:val="00EB1D82"/>
    <w:rsid w:val="00EB2706"/>
    <w:rsid w:val="00EB3148"/>
    <w:rsid w:val="00EB3461"/>
    <w:rsid w:val="00EB3663"/>
    <w:rsid w:val="00EB512D"/>
    <w:rsid w:val="00EB58C4"/>
    <w:rsid w:val="00EB58C7"/>
    <w:rsid w:val="00EB621B"/>
    <w:rsid w:val="00EB6310"/>
    <w:rsid w:val="00EB643B"/>
    <w:rsid w:val="00EB6D48"/>
    <w:rsid w:val="00EB6EA5"/>
    <w:rsid w:val="00EB73DA"/>
    <w:rsid w:val="00EB7A91"/>
    <w:rsid w:val="00EC07E1"/>
    <w:rsid w:val="00EC1AAF"/>
    <w:rsid w:val="00EC21BB"/>
    <w:rsid w:val="00EC28D1"/>
    <w:rsid w:val="00EC363B"/>
    <w:rsid w:val="00EC3F40"/>
    <w:rsid w:val="00EC3FEB"/>
    <w:rsid w:val="00EC4091"/>
    <w:rsid w:val="00EC4171"/>
    <w:rsid w:val="00EC444E"/>
    <w:rsid w:val="00EC488F"/>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97C"/>
    <w:rsid w:val="00ED5CC0"/>
    <w:rsid w:val="00ED5D50"/>
    <w:rsid w:val="00ED6BC8"/>
    <w:rsid w:val="00ED707F"/>
    <w:rsid w:val="00ED7180"/>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4C76"/>
    <w:rsid w:val="00F25739"/>
    <w:rsid w:val="00F25790"/>
    <w:rsid w:val="00F25F40"/>
    <w:rsid w:val="00F26092"/>
    <w:rsid w:val="00F263ED"/>
    <w:rsid w:val="00F26B4E"/>
    <w:rsid w:val="00F311D3"/>
    <w:rsid w:val="00F31D7D"/>
    <w:rsid w:val="00F32759"/>
    <w:rsid w:val="00F32D9E"/>
    <w:rsid w:val="00F33320"/>
    <w:rsid w:val="00F33916"/>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7A3D"/>
    <w:rsid w:val="00F600F6"/>
    <w:rsid w:val="00F60279"/>
    <w:rsid w:val="00F61EC6"/>
    <w:rsid w:val="00F62579"/>
    <w:rsid w:val="00F63875"/>
    <w:rsid w:val="00F65530"/>
    <w:rsid w:val="00F6585D"/>
    <w:rsid w:val="00F65CE2"/>
    <w:rsid w:val="00F66587"/>
    <w:rsid w:val="00F66717"/>
    <w:rsid w:val="00F66992"/>
    <w:rsid w:val="00F672BB"/>
    <w:rsid w:val="00F67472"/>
    <w:rsid w:val="00F67AC3"/>
    <w:rsid w:val="00F67E82"/>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4F335-5669-4981-B22F-2080FF24F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527</TotalTime>
  <Pages>4</Pages>
  <Words>1211</Words>
  <Characters>6906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8101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92</cp:revision>
  <cp:lastPrinted>2010-01-07T02:23:00Z</cp:lastPrinted>
  <dcterms:created xsi:type="dcterms:W3CDTF">2022-09-30T11:20:00Z</dcterms:created>
  <dcterms:modified xsi:type="dcterms:W3CDTF">2022-11-07T14:21:00Z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(3)qS5KKj7GoX+grn6mAfC89lqoSlo8Ujbk5XQLCtWYGqY9mJ2uUrVOAGzBm8b6YEPqPu1xoL3Z
17Wu6N8nu3ioJSX7HbkySAH6pIZZThN15J8V9slWM9UZ9xPXSysKHEkKfXpRE+zdYOsKKU9o
T13WWhnN6XKVdS0LNGbxEO7dc9c49E0qpRD40qu3atfH0oudvnu4F7QF0DbVvKsEToCfqm+9
zgIiWeERCUd7YoPZ3o</vt:lpwstr>
  </property>
  <property fmtid="{D5CDD505-2E9C-101B-9397-08002B2CF9AE}" pid="15" name="_2015_ms_pID_725343_00">
    <vt:lpwstr>_2015_ms_pID_725343</vt:lpwstr>
  </property>
  <property fmtid="{D5CDD505-2E9C-101B-9397-08002B2CF9AE}" pid="16" name="_2015_ms_pID_7253431">
    <vt:lpwstr>pMNcb2odM4CZaYP+UsHKvRXJBGAhxHE+XL3KmoTzcesO2Q5g9weOje
JnFusTYMt4afWzpF8bzj2mJQZB5TIjhSgciiAUAKaIULQgHQDdhGPU3/GNfaNRFuEk85j9+u
QW74XEVmOzd1WxQioiN+3SW9P3unEW4Ya6kv9LnhyYTgPPw59o9MaI3LW2+Q8z4QLjJ3c7/g
u42TcWPneKWFSY2MKPBTi+GXTAsPZzuSCUI/</vt:lpwstr>
  </property>
  <property fmtid="{D5CDD505-2E9C-101B-9397-08002B2CF9AE}" pid="17" name="_2015_ms_pID_7253431_00">
    <vt:lpwstr>_2015_ms_pID_7253431</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1667546394</vt:lpwstr>
  </property>
</Properties>
</file>